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44D61" w14:textId="77777777" w:rsidR="00B811E3" w:rsidRPr="005D1C78" w:rsidRDefault="00B811E3" w:rsidP="00B811E3"/>
    <w:tbl>
      <w:tblPr>
        <w:tblStyle w:val="TableGrid"/>
        <w:tblW w:w="5000" w:type="pct"/>
        <w:tblLook w:val="04A0" w:firstRow="1" w:lastRow="0" w:firstColumn="1" w:lastColumn="0" w:noHBand="0" w:noVBand="1"/>
      </w:tblPr>
      <w:tblGrid>
        <w:gridCol w:w="5382"/>
        <w:gridCol w:w="4539"/>
        <w:gridCol w:w="4953"/>
      </w:tblGrid>
      <w:tr w:rsidR="00B811E3" w:rsidRPr="005D1C78" w14:paraId="173C2ABB" w14:textId="77777777" w:rsidTr="007B7EFB">
        <w:tc>
          <w:tcPr>
            <w:tcW w:w="5382" w:type="dxa"/>
          </w:tcPr>
          <w:p w14:paraId="55C93F27" w14:textId="77777777" w:rsidR="00B811E3" w:rsidRPr="005D1C78" w:rsidRDefault="00B811E3" w:rsidP="00B811E3">
            <w:pPr>
              <w:rPr>
                <w:b/>
              </w:rPr>
            </w:pPr>
            <w:r w:rsidRPr="005D1C78">
              <w:rPr>
                <w:b/>
              </w:rPr>
              <w:t xml:space="preserve">Organization: </w:t>
            </w:r>
          </w:p>
          <w:p w14:paraId="2488AEDC" w14:textId="77777777" w:rsidR="00B811E3" w:rsidRPr="00652FB0" w:rsidRDefault="00B811E3" w:rsidP="00B811E3">
            <w:r>
              <w:t>Lightin</w:t>
            </w:r>
            <w:r w:rsidRPr="00652FB0">
              <w:t>gEurope</w:t>
            </w:r>
          </w:p>
          <w:p w14:paraId="2AA8F2C8" w14:textId="77777777" w:rsidR="00B811E3" w:rsidRPr="005D1C78" w:rsidRDefault="00B811E3" w:rsidP="00B811E3">
            <w:pPr>
              <w:rPr>
                <w:b/>
              </w:rPr>
            </w:pPr>
          </w:p>
        </w:tc>
        <w:tc>
          <w:tcPr>
            <w:tcW w:w="4539" w:type="dxa"/>
          </w:tcPr>
          <w:p w14:paraId="2E76B9B9" w14:textId="155E1B29" w:rsidR="00B811E3" w:rsidRDefault="00B811E3" w:rsidP="00B811E3"/>
          <w:p w14:paraId="1BBFCA99" w14:textId="77777777" w:rsidR="00B811E3" w:rsidRPr="005D1C78" w:rsidRDefault="00B811E3" w:rsidP="00B811E3">
            <w:pPr>
              <w:rPr>
                <w:b/>
              </w:rPr>
            </w:pPr>
          </w:p>
        </w:tc>
        <w:tc>
          <w:tcPr>
            <w:tcW w:w="4953" w:type="dxa"/>
          </w:tcPr>
          <w:p w14:paraId="27CC01A3" w14:textId="68A9733A" w:rsidR="00B811E3" w:rsidRDefault="00B811E3" w:rsidP="00B811E3">
            <w:r w:rsidRPr="005D1C78">
              <w:rPr>
                <w:b/>
              </w:rPr>
              <w:t>Date:</w:t>
            </w:r>
            <w:r w:rsidR="007B7EFB">
              <w:rPr>
                <w:b/>
              </w:rPr>
              <w:t xml:space="preserve"> 10</w:t>
            </w:r>
            <w:r>
              <w:rPr>
                <w:b/>
              </w:rPr>
              <w:t xml:space="preserve"> Ju</w:t>
            </w:r>
            <w:r w:rsidR="00B63F4D">
              <w:rPr>
                <w:b/>
              </w:rPr>
              <w:t>ly</w:t>
            </w:r>
            <w:r>
              <w:rPr>
                <w:b/>
              </w:rPr>
              <w:t xml:space="preserve"> 2015</w:t>
            </w:r>
          </w:p>
          <w:p w14:paraId="58678A94" w14:textId="77777777" w:rsidR="00B811E3" w:rsidRPr="005D1C78" w:rsidRDefault="00B811E3" w:rsidP="00B811E3">
            <w:pPr>
              <w:rPr>
                <w:b/>
              </w:rPr>
            </w:pPr>
          </w:p>
        </w:tc>
      </w:tr>
    </w:tbl>
    <w:p w14:paraId="7A400F0A" w14:textId="77777777" w:rsidR="00B811E3" w:rsidRPr="005D1C78" w:rsidRDefault="00B811E3" w:rsidP="00B811E3"/>
    <w:tbl>
      <w:tblPr>
        <w:tblStyle w:val="TableGrid"/>
        <w:tblW w:w="5000" w:type="pct"/>
        <w:tblLayout w:type="fixed"/>
        <w:tblLook w:val="04E0" w:firstRow="1" w:lastRow="1" w:firstColumn="1" w:lastColumn="0" w:noHBand="0" w:noVBand="1"/>
      </w:tblPr>
      <w:tblGrid>
        <w:gridCol w:w="250"/>
        <w:gridCol w:w="2093"/>
        <w:gridCol w:w="770"/>
        <w:gridCol w:w="2267"/>
        <w:gridCol w:w="4538"/>
        <w:gridCol w:w="4956"/>
      </w:tblGrid>
      <w:tr w:rsidR="00312B25" w:rsidRPr="005D1C78" w14:paraId="59FCA87D" w14:textId="77777777" w:rsidTr="00312B25">
        <w:trPr>
          <w:cantSplit/>
          <w:tblHeader/>
        </w:trPr>
        <w:tc>
          <w:tcPr>
            <w:tcW w:w="250" w:type="dxa"/>
            <w:shd w:val="clear" w:color="auto" w:fill="DBE5F1" w:themeFill="accent1" w:themeFillTint="33"/>
          </w:tcPr>
          <w:p w14:paraId="068DDAF0" w14:textId="77777777" w:rsidR="00312B25" w:rsidRPr="002E6D23" w:rsidRDefault="00312B25" w:rsidP="00B811E3">
            <w:pPr>
              <w:ind w:right="0"/>
              <w:rPr>
                <w:b/>
              </w:rPr>
            </w:pPr>
            <w:r w:rsidRPr="002E6D23">
              <w:rPr>
                <w:b/>
                <w:bCs/>
              </w:rPr>
              <w:t>Task        #</w:t>
            </w:r>
          </w:p>
        </w:tc>
        <w:tc>
          <w:tcPr>
            <w:tcW w:w="2093" w:type="dxa"/>
            <w:shd w:val="clear" w:color="auto" w:fill="DBE5F1" w:themeFill="accent1" w:themeFillTint="33"/>
          </w:tcPr>
          <w:p w14:paraId="0B14D6AC" w14:textId="77777777" w:rsidR="00312B25" w:rsidRPr="005D1C78" w:rsidRDefault="00312B25" w:rsidP="00B811E3">
            <w:pPr>
              <w:ind w:right="0"/>
              <w:rPr>
                <w:b/>
              </w:rPr>
            </w:pPr>
            <w:r w:rsidRPr="1E29057C">
              <w:rPr>
                <w:b/>
                <w:bCs/>
              </w:rPr>
              <w:t>Section  #</w:t>
            </w:r>
          </w:p>
        </w:tc>
        <w:tc>
          <w:tcPr>
            <w:tcW w:w="770" w:type="dxa"/>
            <w:shd w:val="clear" w:color="auto" w:fill="DBE5F1" w:themeFill="accent1" w:themeFillTint="33"/>
          </w:tcPr>
          <w:p w14:paraId="397C41C7" w14:textId="77777777" w:rsidR="00312B25" w:rsidRPr="005D1C78" w:rsidRDefault="00312B25" w:rsidP="00B811E3">
            <w:pPr>
              <w:ind w:right="0"/>
              <w:rPr>
                <w:b/>
              </w:rPr>
            </w:pPr>
            <w:r w:rsidRPr="1E29057C">
              <w:rPr>
                <w:b/>
                <w:bCs/>
              </w:rPr>
              <w:t>Page       #</w:t>
            </w:r>
          </w:p>
        </w:tc>
        <w:tc>
          <w:tcPr>
            <w:tcW w:w="2267" w:type="dxa"/>
            <w:shd w:val="clear" w:color="auto" w:fill="DBE5F1" w:themeFill="accent1" w:themeFillTint="33"/>
          </w:tcPr>
          <w:p w14:paraId="6EF43918" w14:textId="77777777" w:rsidR="00312B25" w:rsidRPr="005D1C78" w:rsidRDefault="00312B25" w:rsidP="00B811E3">
            <w:pPr>
              <w:rPr>
                <w:b/>
              </w:rPr>
            </w:pPr>
            <w:r w:rsidRPr="005D1C78">
              <w:rPr>
                <w:b/>
              </w:rPr>
              <w:t>Topic</w:t>
            </w:r>
          </w:p>
        </w:tc>
        <w:tc>
          <w:tcPr>
            <w:tcW w:w="4538" w:type="dxa"/>
            <w:shd w:val="clear" w:color="auto" w:fill="DBE5F1" w:themeFill="accent1" w:themeFillTint="33"/>
          </w:tcPr>
          <w:p w14:paraId="2A3F4AB3" w14:textId="77777777" w:rsidR="00312B25" w:rsidRPr="005D1C78" w:rsidRDefault="00312B25" w:rsidP="00B811E3">
            <w:pPr>
              <w:rPr>
                <w:b/>
              </w:rPr>
            </w:pPr>
            <w:r w:rsidRPr="005D1C78">
              <w:rPr>
                <w:b/>
              </w:rPr>
              <w:t>Comment</w:t>
            </w:r>
          </w:p>
        </w:tc>
        <w:tc>
          <w:tcPr>
            <w:tcW w:w="4956" w:type="dxa"/>
            <w:shd w:val="clear" w:color="auto" w:fill="DBE5F1" w:themeFill="accent1" w:themeFillTint="33"/>
          </w:tcPr>
          <w:p w14:paraId="59218DF7" w14:textId="77777777" w:rsidR="00312B25" w:rsidRPr="005D1C78" w:rsidRDefault="00312B25" w:rsidP="00B811E3">
            <w:pPr>
              <w:rPr>
                <w:b/>
              </w:rPr>
            </w:pPr>
            <w:r w:rsidRPr="005D1C78">
              <w:rPr>
                <w:b/>
              </w:rPr>
              <w:t>Proposed change</w:t>
            </w:r>
          </w:p>
        </w:tc>
      </w:tr>
      <w:tr w:rsidR="00312B25" w:rsidRPr="00FD021D" w14:paraId="6F238C7C" w14:textId="77777777" w:rsidTr="00312B25">
        <w:tc>
          <w:tcPr>
            <w:tcW w:w="250" w:type="dxa"/>
          </w:tcPr>
          <w:p w14:paraId="4CD8B394" w14:textId="77777777" w:rsidR="00312B25" w:rsidRDefault="00312B25" w:rsidP="00B811E3">
            <w:pPr>
              <w:ind w:right="0"/>
              <w:rPr>
                <w:i/>
                <w:color w:val="FF0000"/>
              </w:rPr>
            </w:pPr>
          </w:p>
          <w:p w14:paraId="306E0B62" w14:textId="77777777" w:rsidR="00312B25" w:rsidRDefault="00312B25" w:rsidP="00B811E3">
            <w:pPr>
              <w:ind w:right="0"/>
              <w:rPr>
                <w:i/>
                <w:color w:val="FF0000"/>
              </w:rPr>
            </w:pPr>
          </w:p>
          <w:p w14:paraId="08B7878C" w14:textId="77777777" w:rsidR="00312B25" w:rsidRPr="00FD021D" w:rsidRDefault="00312B25" w:rsidP="00B811E3">
            <w:pPr>
              <w:ind w:right="0"/>
              <w:rPr>
                <w:i/>
                <w:color w:val="FF0000"/>
              </w:rPr>
            </w:pPr>
          </w:p>
        </w:tc>
        <w:tc>
          <w:tcPr>
            <w:tcW w:w="2093" w:type="dxa"/>
          </w:tcPr>
          <w:p w14:paraId="03D7AA47" w14:textId="77777777" w:rsidR="00312B25" w:rsidRPr="00B811E3" w:rsidRDefault="00312B25" w:rsidP="00B811E3">
            <w:pPr>
              <w:ind w:right="0"/>
              <w:rPr>
                <w:i/>
                <w:color w:val="000000" w:themeColor="text1"/>
              </w:rPr>
            </w:pPr>
            <w:proofErr w:type="spellStart"/>
            <w:r w:rsidRPr="00B811E3">
              <w:rPr>
                <w:i/>
                <w:color w:val="000000" w:themeColor="text1"/>
              </w:rPr>
              <w:t>Summary&amp;conclusions</w:t>
            </w:r>
            <w:proofErr w:type="spellEnd"/>
          </w:p>
        </w:tc>
        <w:tc>
          <w:tcPr>
            <w:tcW w:w="770" w:type="dxa"/>
          </w:tcPr>
          <w:p w14:paraId="03AC23EA" w14:textId="77777777" w:rsidR="00312B25" w:rsidRPr="00B811E3" w:rsidRDefault="00312B25" w:rsidP="00B811E3">
            <w:pPr>
              <w:ind w:right="0"/>
              <w:rPr>
                <w:i/>
                <w:color w:val="000000" w:themeColor="text1"/>
              </w:rPr>
            </w:pPr>
            <w:r w:rsidRPr="00B811E3">
              <w:rPr>
                <w:i/>
                <w:color w:val="000000" w:themeColor="text1"/>
              </w:rPr>
              <w:t>5</w:t>
            </w:r>
          </w:p>
        </w:tc>
        <w:tc>
          <w:tcPr>
            <w:tcW w:w="2267" w:type="dxa"/>
          </w:tcPr>
          <w:p w14:paraId="7DEA6B5F" w14:textId="77777777" w:rsidR="00312B25" w:rsidRPr="00B811E3" w:rsidRDefault="00312B25" w:rsidP="00B811E3">
            <w:pPr>
              <w:ind w:right="0"/>
              <w:rPr>
                <w:rFonts w:eastAsia="Calibri"/>
                <w:i/>
                <w:color w:val="000000" w:themeColor="text1"/>
              </w:rPr>
            </w:pPr>
            <w:r w:rsidRPr="00B811E3">
              <w:rPr>
                <w:rFonts w:eastAsia="Calibri"/>
                <w:i/>
                <w:color w:val="000000" w:themeColor="text1"/>
              </w:rPr>
              <w:t xml:space="preserve">No halogen lamps were found on the market which fulfil the EEI&lt;0.95 stage 3 </w:t>
            </w:r>
            <w:proofErr w:type="spellStart"/>
            <w:r w:rsidRPr="00B811E3">
              <w:rPr>
                <w:rFonts w:eastAsia="Calibri"/>
                <w:i/>
                <w:color w:val="000000" w:themeColor="text1"/>
              </w:rPr>
              <w:t>criterium</w:t>
            </w:r>
            <w:proofErr w:type="spellEnd"/>
            <w:r w:rsidRPr="00B811E3">
              <w:rPr>
                <w:rFonts w:eastAsia="Calibri"/>
                <w:i/>
                <w:color w:val="000000" w:themeColor="text1"/>
              </w:rPr>
              <w:t xml:space="preserve"> of Regulation 1194/2012</w:t>
            </w:r>
          </w:p>
        </w:tc>
        <w:tc>
          <w:tcPr>
            <w:tcW w:w="4538" w:type="dxa"/>
          </w:tcPr>
          <w:p w14:paraId="25261187" w14:textId="77777777" w:rsidR="00312B25" w:rsidRPr="00B811E3" w:rsidRDefault="00312B25" w:rsidP="00B811E3">
            <w:pPr>
              <w:ind w:right="0"/>
              <w:rPr>
                <w:rFonts w:eastAsia="Calibri"/>
                <w:i/>
                <w:color w:val="000000" w:themeColor="text1"/>
              </w:rPr>
            </w:pPr>
          </w:p>
        </w:tc>
        <w:tc>
          <w:tcPr>
            <w:tcW w:w="4956" w:type="dxa"/>
          </w:tcPr>
          <w:p w14:paraId="407B1ED1" w14:textId="77777777" w:rsidR="00312B25" w:rsidRPr="00B811E3" w:rsidRDefault="00312B25" w:rsidP="00B811E3">
            <w:pPr>
              <w:ind w:right="0"/>
              <w:rPr>
                <w:rFonts w:eastAsia="Calibri"/>
                <w:i/>
                <w:color w:val="000000" w:themeColor="text1"/>
                <w:lang w:val="en-US"/>
              </w:rPr>
            </w:pPr>
            <w:r w:rsidRPr="00B811E3">
              <w:rPr>
                <w:rFonts w:eastAsia="Calibri"/>
                <w:i/>
                <w:color w:val="000000" w:themeColor="text1"/>
              </w:rPr>
              <w:t xml:space="preserve">No </w:t>
            </w:r>
            <w:r w:rsidRPr="00B811E3">
              <w:rPr>
                <w:rFonts w:eastAsia="Calibri"/>
                <w:i/>
                <w:color w:val="000000" w:themeColor="text1"/>
                <w:u w:val="single"/>
              </w:rPr>
              <w:t>Mains Voltage</w:t>
            </w:r>
            <w:r w:rsidRPr="00B811E3">
              <w:rPr>
                <w:rFonts w:eastAsia="Calibri"/>
                <w:i/>
                <w:color w:val="000000" w:themeColor="text1"/>
              </w:rPr>
              <w:t xml:space="preserve"> halogen lamps were found on the market which fulfil the EEI&lt;0.95 stage 3 </w:t>
            </w:r>
            <w:proofErr w:type="spellStart"/>
            <w:r w:rsidRPr="00B811E3">
              <w:rPr>
                <w:rFonts w:eastAsia="Calibri"/>
                <w:i/>
                <w:color w:val="000000" w:themeColor="text1"/>
              </w:rPr>
              <w:t>criterium</w:t>
            </w:r>
            <w:proofErr w:type="spellEnd"/>
            <w:r w:rsidRPr="00B811E3">
              <w:rPr>
                <w:rFonts w:eastAsia="Calibri"/>
                <w:i/>
                <w:color w:val="000000" w:themeColor="text1"/>
              </w:rPr>
              <w:t xml:space="preserve"> of Regulation 1194/2012</w:t>
            </w:r>
          </w:p>
        </w:tc>
      </w:tr>
      <w:tr w:rsidR="00312B25" w:rsidRPr="00FD021D" w14:paraId="1C14177D" w14:textId="77777777" w:rsidTr="00312B25">
        <w:tc>
          <w:tcPr>
            <w:tcW w:w="250" w:type="dxa"/>
          </w:tcPr>
          <w:p w14:paraId="41D1761F" w14:textId="77777777" w:rsidR="00312B25" w:rsidRDefault="00312B25" w:rsidP="00B811E3">
            <w:pPr>
              <w:ind w:right="0"/>
              <w:rPr>
                <w:i/>
                <w:color w:val="FF0000"/>
              </w:rPr>
            </w:pPr>
          </w:p>
          <w:p w14:paraId="1BAD4D85" w14:textId="77777777" w:rsidR="00312B25" w:rsidRDefault="00312B25" w:rsidP="00B811E3">
            <w:pPr>
              <w:ind w:right="0"/>
              <w:rPr>
                <w:i/>
                <w:color w:val="FF0000"/>
              </w:rPr>
            </w:pPr>
          </w:p>
          <w:p w14:paraId="62839B04" w14:textId="77777777" w:rsidR="00312B25" w:rsidRDefault="00312B25" w:rsidP="00B811E3">
            <w:pPr>
              <w:ind w:right="0"/>
              <w:rPr>
                <w:i/>
                <w:color w:val="FF0000"/>
              </w:rPr>
            </w:pPr>
          </w:p>
          <w:p w14:paraId="6DDECF07" w14:textId="77777777" w:rsidR="00312B25" w:rsidRPr="00FD021D" w:rsidRDefault="00312B25" w:rsidP="00B811E3">
            <w:pPr>
              <w:ind w:right="0"/>
              <w:rPr>
                <w:i/>
                <w:color w:val="FF0000"/>
              </w:rPr>
            </w:pPr>
          </w:p>
        </w:tc>
        <w:tc>
          <w:tcPr>
            <w:tcW w:w="2093" w:type="dxa"/>
          </w:tcPr>
          <w:p w14:paraId="17B932EF" w14:textId="77777777" w:rsidR="00312B25" w:rsidRPr="00B811E3" w:rsidRDefault="00312B25" w:rsidP="00B811E3">
            <w:pPr>
              <w:ind w:right="0"/>
              <w:rPr>
                <w:i/>
                <w:color w:val="000000" w:themeColor="text1"/>
              </w:rPr>
            </w:pPr>
            <w:proofErr w:type="spellStart"/>
            <w:r w:rsidRPr="00B811E3">
              <w:rPr>
                <w:i/>
                <w:color w:val="000000" w:themeColor="text1"/>
              </w:rPr>
              <w:t>Summary&amp;conclusions</w:t>
            </w:r>
            <w:proofErr w:type="spellEnd"/>
          </w:p>
        </w:tc>
        <w:tc>
          <w:tcPr>
            <w:tcW w:w="770" w:type="dxa"/>
          </w:tcPr>
          <w:p w14:paraId="36E3CA2D" w14:textId="77777777" w:rsidR="00312B25" w:rsidRPr="00B811E3" w:rsidRDefault="00312B25" w:rsidP="00B811E3">
            <w:pPr>
              <w:ind w:right="0"/>
              <w:rPr>
                <w:i/>
                <w:color w:val="000000" w:themeColor="text1"/>
              </w:rPr>
            </w:pPr>
            <w:r w:rsidRPr="00B811E3">
              <w:rPr>
                <w:i/>
                <w:color w:val="000000" w:themeColor="text1"/>
              </w:rPr>
              <w:t>6</w:t>
            </w:r>
          </w:p>
        </w:tc>
        <w:tc>
          <w:tcPr>
            <w:tcW w:w="2267" w:type="dxa"/>
          </w:tcPr>
          <w:p w14:paraId="5BCFE189" w14:textId="77777777" w:rsidR="00312B25" w:rsidRPr="00B811E3" w:rsidRDefault="00312B25" w:rsidP="00B811E3">
            <w:pPr>
              <w:ind w:right="0"/>
              <w:rPr>
                <w:rFonts w:eastAsia="Calibri"/>
                <w:i/>
                <w:color w:val="000000" w:themeColor="text1"/>
              </w:rPr>
            </w:pPr>
            <w:r w:rsidRPr="00B811E3">
              <w:rPr>
                <w:rFonts w:eastAsia="Calibri"/>
                <w:i/>
                <w:color w:val="000000" w:themeColor="text1"/>
              </w:rPr>
              <w:t>In conclusion, this market assessment presents the evidence that there are mains-voltage lamps on the market fulfilling all the necessary conditions laid out in Regulation 1194/2012 for stage 3 to apply to mains-voltage filament lamps.</w:t>
            </w:r>
          </w:p>
        </w:tc>
        <w:tc>
          <w:tcPr>
            <w:tcW w:w="4538" w:type="dxa"/>
          </w:tcPr>
          <w:p w14:paraId="510C1FA8" w14:textId="77777777" w:rsidR="00312B25" w:rsidRPr="00B811E3" w:rsidRDefault="00312B25" w:rsidP="00B811E3">
            <w:pPr>
              <w:ind w:right="0"/>
              <w:rPr>
                <w:rFonts w:eastAsia="Calibri"/>
                <w:i/>
                <w:color w:val="000000" w:themeColor="text1"/>
              </w:rPr>
            </w:pPr>
            <w:r w:rsidRPr="00B811E3">
              <w:rPr>
                <w:i/>
                <w:color w:val="000000" w:themeColor="text1"/>
                <w:lang w:val="en-US"/>
              </w:rPr>
              <w:t>[Are these lamps compliant to EU CE requirements? Has this been tested by certified independent test houses?]</w:t>
            </w:r>
          </w:p>
        </w:tc>
        <w:tc>
          <w:tcPr>
            <w:tcW w:w="4956" w:type="dxa"/>
          </w:tcPr>
          <w:p w14:paraId="59275688" w14:textId="77777777" w:rsidR="00312B25" w:rsidRPr="00B811E3" w:rsidRDefault="00312B25" w:rsidP="00B811E3">
            <w:pPr>
              <w:ind w:right="0"/>
              <w:rPr>
                <w:i/>
                <w:color w:val="000000" w:themeColor="text1"/>
                <w:lang w:val="en-US"/>
              </w:rPr>
            </w:pPr>
          </w:p>
        </w:tc>
      </w:tr>
      <w:tr w:rsidR="00312B25" w:rsidRPr="00FD021D" w14:paraId="425CA137" w14:textId="77777777" w:rsidTr="00312B25">
        <w:tc>
          <w:tcPr>
            <w:tcW w:w="250" w:type="dxa"/>
          </w:tcPr>
          <w:p w14:paraId="49D5D739" w14:textId="77777777" w:rsidR="00312B25" w:rsidRPr="00FD021D" w:rsidRDefault="00312B25" w:rsidP="00B811E3">
            <w:pPr>
              <w:ind w:right="0"/>
              <w:rPr>
                <w:i/>
                <w:color w:val="FF0000"/>
              </w:rPr>
            </w:pPr>
          </w:p>
        </w:tc>
        <w:tc>
          <w:tcPr>
            <w:tcW w:w="2093" w:type="dxa"/>
          </w:tcPr>
          <w:p w14:paraId="2BAE841E" w14:textId="77777777" w:rsidR="00312B25" w:rsidRPr="00B811E3" w:rsidRDefault="00312B25" w:rsidP="00B811E3">
            <w:pPr>
              <w:ind w:right="0"/>
              <w:rPr>
                <w:i/>
                <w:color w:val="000000" w:themeColor="text1"/>
              </w:rPr>
            </w:pPr>
            <w:r w:rsidRPr="00B811E3">
              <w:rPr>
                <w:i/>
                <w:color w:val="000000" w:themeColor="text1"/>
              </w:rPr>
              <w:t>2. Methodology for the market study</w:t>
            </w:r>
          </w:p>
        </w:tc>
        <w:tc>
          <w:tcPr>
            <w:tcW w:w="770" w:type="dxa"/>
          </w:tcPr>
          <w:p w14:paraId="610F47A4" w14:textId="77777777" w:rsidR="00312B25" w:rsidRPr="00B811E3" w:rsidRDefault="00312B25" w:rsidP="00B811E3">
            <w:pPr>
              <w:ind w:right="0"/>
              <w:rPr>
                <w:i/>
                <w:color w:val="000000" w:themeColor="text1"/>
              </w:rPr>
            </w:pPr>
            <w:r w:rsidRPr="00B811E3">
              <w:rPr>
                <w:i/>
                <w:color w:val="000000" w:themeColor="text1"/>
              </w:rPr>
              <w:t>11</w:t>
            </w:r>
          </w:p>
        </w:tc>
        <w:tc>
          <w:tcPr>
            <w:tcW w:w="2267" w:type="dxa"/>
          </w:tcPr>
          <w:p w14:paraId="223C4921" w14:textId="77777777" w:rsidR="00312B25" w:rsidRPr="00B811E3" w:rsidRDefault="00312B25" w:rsidP="00B811E3">
            <w:pPr>
              <w:ind w:right="0"/>
              <w:rPr>
                <w:rFonts w:eastAsia="Calibri"/>
                <w:i/>
                <w:color w:val="000000" w:themeColor="text1"/>
              </w:rPr>
            </w:pPr>
            <w:proofErr w:type="spellStart"/>
            <w:r w:rsidRPr="00B811E3">
              <w:rPr>
                <w:i/>
                <w:color w:val="000000" w:themeColor="text1"/>
              </w:rPr>
              <w:t>Dimmability</w:t>
            </w:r>
            <w:proofErr w:type="spellEnd"/>
          </w:p>
        </w:tc>
        <w:tc>
          <w:tcPr>
            <w:tcW w:w="4538" w:type="dxa"/>
          </w:tcPr>
          <w:p w14:paraId="7DCE35B3" w14:textId="77777777" w:rsidR="00312B25" w:rsidRPr="00B811E3" w:rsidRDefault="00312B25" w:rsidP="00B811E3">
            <w:pPr>
              <w:rPr>
                <w:i/>
                <w:color w:val="000000" w:themeColor="text1"/>
              </w:rPr>
            </w:pPr>
            <w:r w:rsidRPr="00B811E3">
              <w:rPr>
                <w:i/>
                <w:color w:val="000000" w:themeColor="text1"/>
              </w:rPr>
              <w:t>Dimmer compatibility:  suppliers claiming dim ability for the LED range cannot guarantee a broad dimmer compatibility; The study takes the commercial claim for granted, but does not test this.</w:t>
            </w:r>
          </w:p>
          <w:p w14:paraId="6AEF1580" w14:textId="77777777" w:rsidR="00312B25" w:rsidRPr="00B811E3" w:rsidRDefault="00312B25" w:rsidP="00B811E3">
            <w:pPr>
              <w:rPr>
                <w:i/>
                <w:color w:val="000000" w:themeColor="text1"/>
              </w:rPr>
            </w:pPr>
            <w:r w:rsidRPr="00B811E3">
              <w:rPr>
                <w:i/>
                <w:color w:val="000000" w:themeColor="text1"/>
              </w:rPr>
              <w:t>Many dimmable led lamps cannot dim low, start to hum or flicker when dimming.</w:t>
            </w:r>
          </w:p>
          <w:p w14:paraId="7118CAE7" w14:textId="77777777" w:rsidR="00312B25" w:rsidRPr="00B811E3" w:rsidRDefault="00312B25" w:rsidP="00B811E3">
            <w:pPr>
              <w:rPr>
                <w:i/>
                <w:color w:val="000000" w:themeColor="text1"/>
              </w:rPr>
            </w:pPr>
          </w:p>
          <w:p w14:paraId="5F2D066A" w14:textId="77777777" w:rsidR="00312B25" w:rsidRPr="00B811E3" w:rsidRDefault="00312B25" w:rsidP="00B811E3">
            <w:pPr>
              <w:rPr>
                <w:i/>
                <w:color w:val="000000" w:themeColor="text1"/>
              </w:rPr>
            </w:pPr>
            <w:r w:rsidRPr="00B811E3">
              <w:rPr>
                <w:i/>
                <w:color w:val="000000" w:themeColor="text1"/>
              </w:rPr>
              <w:t xml:space="preserve">In many cases applying a dimmable LED alternative will result in the need to replace also a new dimmer. This will increase the </w:t>
            </w:r>
            <w:r w:rsidRPr="00B811E3">
              <w:rPr>
                <w:i/>
                <w:color w:val="000000" w:themeColor="text1"/>
              </w:rPr>
              <w:lastRenderedPageBreak/>
              <w:t>payback period considerably</w:t>
            </w:r>
          </w:p>
          <w:p w14:paraId="5D5BEC25" w14:textId="77777777" w:rsidR="00312B25" w:rsidRPr="00B811E3" w:rsidRDefault="00312B25" w:rsidP="00B811E3">
            <w:pPr>
              <w:ind w:right="0"/>
              <w:rPr>
                <w:rFonts w:eastAsia="Calibri"/>
                <w:i/>
                <w:color w:val="000000" w:themeColor="text1"/>
              </w:rPr>
            </w:pPr>
          </w:p>
        </w:tc>
        <w:tc>
          <w:tcPr>
            <w:tcW w:w="4956" w:type="dxa"/>
          </w:tcPr>
          <w:p w14:paraId="2A7F26E7" w14:textId="77777777" w:rsidR="00312B25" w:rsidRPr="00B811E3" w:rsidRDefault="00312B25" w:rsidP="00B811E3">
            <w:pPr>
              <w:ind w:right="0"/>
              <w:rPr>
                <w:i/>
                <w:color w:val="000000" w:themeColor="text1"/>
              </w:rPr>
            </w:pPr>
          </w:p>
          <w:p w14:paraId="6B042F20" w14:textId="77777777" w:rsidR="00312B25" w:rsidRPr="00B811E3" w:rsidRDefault="00312B25" w:rsidP="00B811E3">
            <w:pPr>
              <w:ind w:right="0"/>
              <w:rPr>
                <w:i/>
                <w:color w:val="000000" w:themeColor="text1"/>
              </w:rPr>
            </w:pPr>
          </w:p>
        </w:tc>
      </w:tr>
      <w:tr w:rsidR="00312B25" w14:paraId="7613C823" w14:textId="77777777" w:rsidTr="00312B25">
        <w:tc>
          <w:tcPr>
            <w:tcW w:w="250" w:type="dxa"/>
          </w:tcPr>
          <w:p w14:paraId="76A18B27" w14:textId="77777777" w:rsidR="00312B25" w:rsidRDefault="00312B25" w:rsidP="00B811E3">
            <w:pPr>
              <w:ind w:right="0"/>
            </w:pPr>
            <w:r>
              <w:lastRenderedPageBreak/>
              <w:br w:type="page"/>
            </w:r>
          </w:p>
          <w:p w14:paraId="2E643EA5" w14:textId="77777777" w:rsidR="00312B25" w:rsidRDefault="00312B25" w:rsidP="00B811E3">
            <w:pPr>
              <w:ind w:right="0"/>
            </w:pPr>
          </w:p>
          <w:p w14:paraId="56C413EF" w14:textId="77777777" w:rsidR="00312B25" w:rsidRDefault="00312B25" w:rsidP="00B811E3">
            <w:pPr>
              <w:ind w:right="0"/>
            </w:pPr>
          </w:p>
          <w:p w14:paraId="3B3DA96B" w14:textId="77777777" w:rsidR="00312B25" w:rsidRDefault="00312B25" w:rsidP="00B811E3">
            <w:pPr>
              <w:ind w:right="0"/>
            </w:pPr>
          </w:p>
        </w:tc>
        <w:tc>
          <w:tcPr>
            <w:tcW w:w="2093" w:type="dxa"/>
          </w:tcPr>
          <w:p w14:paraId="47992F6F" w14:textId="77777777" w:rsidR="00312B25" w:rsidRPr="00B811E3" w:rsidRDefault="00312B25" w:rsidP="00B811E3">
            <w:pPr>
              <w:ind w:right="0"/>
              <w:rPr>
                <w:color w:val="000000" w:themeColor="text1"/>
                <w:lang w:val="en-US"/>
              </w:rPr>
            </w:pPr>
            <w:r w:rsidRPr="00B811E3">
              <w:rPr>
                <w:i/>
                <w:color w:val="000000" w:themeColor="text1"/>
              </w:rPr>
              <w:t>2. Methodology for the market study</w:t>
            </w:r>
          </w:p>
        </w:tc>
        <w:tc>
          <w:tcPr>
            <w:tcW w:w="770" w:type="dxa"/>
          </w:tcPr>
          <w:p w14:paraId="5ABD8CB0" w14:textId="77777777" w:rsidR="00312B25" w:rsidRPr="00B811E3" w:rsidRDefault="00312B25" w:rsidP="00B811E3">
            <w:pPr>
              <w:ind w:right="0"/>
              <w:rPr>
                <w:color w:val="000000" w:themeColor="text1"/>
              </w:rPr>
            </w:pPr>
            <w:r w:rsidRPr="00B811E3">
              <w:rPr>
                <w:i/>
                <w:color w:val="000000" w:themeColor="text1"/>
              </w:rPr>
              <w:t>12</w:t>
            </w:r>
          </w:p>
        </w:tc>
        <w:tc>
          <w:tcPr>
            <w:tcW w:w="2267" w:type="dxa"/>
          </w:tcPr>
          <w:p w14:paraId="34CB3433" w14:textId="77777777" w:rsidR="00312B25" w:rsidRPr="00B811E3" w:rsidRDefault="00312B25" w:rsidP="00B811E3">
            <w:pPr>
              <w:widowControl/>
              <w:autoSpaceDE w:val="0"/>
              <w:autoSpaceDN w:val="0"/>
              <w:adjustRightInd w:val="0"/>
              <w:ind w:right="0"/>
              <w:rPr>
                <w:rFonts w:eastAsia="Calibri"/>
                <w:i/>
                <w:color w:val="000000" w:themeColor="text1"/>
              </w:rPr>
            </w:pPr>
            <w:r w:rsidRPr="00B811E3">
              <w:rPr>
                <w:rFonts w:eastAsia="Calibri"/>
                <w:i/>
                <w:color w:val="000000" w:themeColor="text1"/>
              </w:rPr>
              <w:t xml:space="preserve">Efficacy: computed for information only, as lumen divided by power. It has been assumed that declared lumen values are compliant with the definition in regulation 1194/2012 (see also point 2). Where both nominal and rated values were available for lumen and/or power, rated values have been used for efficacy computations. </w:t>
            </w:r>
          </w:p>
          <w:p w14:paraId="729E5075" w14:textId="77777777" w:rsidR="00312B25" w:rsidRPr="00B811E3" w:rsidRDefault="00312B25" w:rsidP="00B811E3">
            <w:pPr>
              <w:ind w:right="0"/>
              <w:rPr>
                <w:rFonts w:eastAsia="Calibri"/>
                <w:color w:val="000000" w:themeColor="text1"/>
                <w:lang w:val="en-US"/>
              </w:rPr>
            </w:pPr>
          </w:p>
        </w:tc>
        <w:tc>
          <w:tcPr>
            <w:tcW w:w="4538" w:type="dxa"/>
          </w:tcPr>
          <w:p w14:paraId="3E8180BB" w14:textId="77777777" w:rsidR="00312B25" w:rsidRPr="00B811E3" w:rsidRDefault="00312B25" w:rsidP="00B811E3">
            <w:pPr>
              <w:ind w:right="0"/>
              <w:rPr>
                <w:color w:val="000000" w:themeColor="text1"/>
              </w:rPr>
            </w:pPr>
            <w:r w:rsidRPr="00B811E3">
              <w:rPr>
                <w:i/>
                <w:color w:val="000000" w:themeColor="text1"/>
              </w:rPr>
              <w:t>[</w:t>
            </w:r>
            <w:proofErr w:type="gramStart"/>
            <w:r w:rsidRPr="00B811E3">
              <w:rPr>
                <w:i/>
                <w:color w:val="000000" w:themeColor="text1"/>
              </w:rPr>
              <w:t>declared</w:t>
            </w:r>
            <w:proofErr w:type="gramEnd"/>
            <w:r w:rsidRPr="00B811E3">
              <w:rPr>
                <w:i/>
                <w:color w:val="000000" w:themeColor="text1"/>
              </w:rPr>
              <w:t xml:space="preserve"> lumen values are assumed to</w:t>
            </w:r>
            <w:r w:rsidRPr="00B811E3">
              <w:rPr>
                <w:color w:val="000000" w:themeColor="text1"/>
              </w:rPr>
              <w:t xml:space="preserve"> </w:t>
            </w:r>
            <w:r w:rsidRPr="00B811E3">
              <w:rPr>
                <w:i/>
                <w:color w:val="000000" w:themeColor="text1"/>
              </w:rPr>
              <w:t>be compliant. This should have been underpinned by appropriate testing]</w:t>
            </w:r>
          </w:p>
        </w:tc>
        <w:tc>
          <w:tcPr>
            <w:tcW w:w="4956" w:type="dxa"/>
          </w:tcPr>
          <w:p w14:paraId="093452E3" w14:textId="77777777" w:rsidR="00312B25" w:rsidRPr="00B811E3" w:rsidRDefault="00312B25" w:rsidP="00B811E3">
            <w:pPr>
              <w:ind w:right="0"/>
              <w:rPr>
                <w:color w:val="000000" w:themeColor="text1"/>
              </w:rPr>
            </w:pPr>
          </w:p>
        </w:tc>
      </w:tr>
      <w:tr w:rsidR="00312B25" w14:paraId="3F255BFC" w14:textId="77777777" w:rsidTr="00312B25">
        <w:tc>
          <w:tcPr>
            <w:tcW w:w="250" w:type="dxa"/>
          </w:tcPr>
          <w:p w14:paraId="6FF1E797" w14:textId="77777777" w:rsidR="00312B25" w:rsidRDefault="00312B25" w:rsidP="00B811E3">
            <w:pPr>
              <w:ind w:right="0"/>
              <w:rPr>
                <w:highlight w:val="cyan"/>
              </w:rPr>
            </w:pPr>
          </w:p>
          <w:p w14:paraId="2E4E75E1" w14:textId="77777777" w:rsidR="00312B25" w:rsidRDefault="00312B25" w:rsidP="00B811E3">
            <w:pPr>
              <w:ind w:right="0"/>
              <w:rPr>
                <w:highlight w:val="cyan"/>
              </w:rPr>
            </w:pPr>
          </w:p>
          <w:p w14:paraId="130D137B" w14:textId="77777777" w:rsidR="00312B25" w:rsidRPr="00511CF0" w:rsidRDefault="00312B25" w:rsidP="00B811E3">
            <w:pPr>
              <w:ind w:right="0"/>
              <w:rPr>
                <w:highlight w:val="cyan"/>
              </w:rPr>
            </w:pPr>
          </w:p>
        </w:tc>
        <w:tc>
          <w:tcPr>
            <w:tcW w:w="2093" w:type="dxa"/>
          </w:tcPr>
          <w:p w14:paraId="77B107E2" w14:textId="77777777" w:rsidR="00312B25" w:rsidRPr="00B811E3" w:rsidRDefault="00312B25" w:rsidP="00B811E3">
            <w:pPr>
              <w:ind w:right="0"/>
              <w:rPr>
                <w:color w:val="000000" w:themeColor="text1"/>
              </w:rPr>
            </w:pPr>
            <w:r w:rsidRPr="00B811E3">
              <w:rPr>
                <w:i/>
                <w:color w:val="000000" w:themeColor="text1"/>
              </w:rPr>
              <w:t>2. Methodology for the market study</w:t>
            </w:r>
          </w:p>
        </w:tc>
        <w:tc>
          <w:tcPr>
            <w:tcW w:w="770" w:type="dxa"/>
          </w:tcPr>
          <w:p w14:paraId="5D885DC3" w14:textId="77777777" w:rsidR="00312B25" w:rsidRPr="00B811E3" w:rsidRDefault="00312B25" w:rsidP="00B811E3">
            <w:pPr>
              <w:ind w:right="-77"/>
              <w:rPr>
                <w:i/>
                <w:color w:val="000000" w:themeColor="text1"/>
              </w:rPr>
            </w:pPr>
            <w:r w:rsidRPr="00B811E3">
              <w:rPr>
                <w:i/>
                <w:color w:val="000000" w:themeColor="text1"/>
              </w:rPr>
              <w:t>13</w:t>
            </w:r>
          </w:p>
        </w:tc>
        <w:tc>
          <w:tcPr>
            <w:tcW w:w="2267" w:type="dxa"/>
          </w:tcPr>
          <w:p w14:paraId="5381FAFF" w14:textId="77777777" w:rsidR="00312B25" w:rsidRPr="00B811E3" w:rsidRDefault="00312B25" w:rsidP="00B811E3">
            <w:pPr>
              <w:widowControl/>
              <w:autoSpaceDE w:val="0"/>
              <w:autoSpaceDN w:val="0"/>
              <w:adjustRightInd w:val="0"/>
              <w:ind w:right="0"/>
              <w:rPr>
                <w:rFonts w:eastAsia="Calibri"/>
                <w:i/>
                <w:color w:val="000000" w:themeColor="text1"/>
              </w:rPr>
            </w:pPr>
            <w:r w:rsidRPr="00B811E3">
              <w:rPr>
                <w:rFonts w:eastAsia="Calibri"/>
                <w:i/>
                <w:color w:val="000000" w:themeColor="text1"/>
              </w:rPr>
              <w:t xml:space="preserve">The thermal effects of the substitution of a halogen lamp by a LED lamp have not been evaluated: these depend on the type of luminaire and on the burning position, which in general are unknown in this study. </w:t>
            </w:r>
          </w:p>
          <w:p w14:paraId="3C86FDD3" w14:textId="77777777" w:rsidR="00312B25" w:rsidRPr="00B811E3" w:rsidRDefault="00312B25" w:rsidP="00B811E3">
            <w:pPr>
              <w:ind w:right="0"/>
              <w:rPr>
                <w:rFonts w:eastAsia="Calibri"/>
                <w:color w:val="000000" w:themeColor="text1"/>
                <w:highlight w:val="cyan"/>
                <w:lang w:val="en-US"/>
              </w:rPr>
            </w:pPr>
          </w:p>
        </w:tc>
        <w:tc>
          <w:tcPr>
            <w:tcW w:w="4538" w:type="dxa"/>
          </w:tcPr>
          <w:p w14:paraId="21C464CA" w14:textId="77777777" w:rsidR="00312B25" w:rsidRPr="00B811E3" w:rsidRDefault="00312B25" w:rsidP="00B811E3">
            <w:pPr>
              <w:ind w:right="0"/>
              <w:rPr>
                <w:rFonts w:eastAsia="Calibri"/>
                <w:i/>
                <w:color w:val="000000" w:themeColor="text1"/>
                <w:highlight w:val="cyan"/>
              </w:rPr>
            </w:pPr>
            <w:r w:rsidRPr="00B811E3">
              <w:rPr>
                <w:rFonts w:eastAsia="Calibri"/>
                <w:i/>
                <w:color w:val="000000" w:themeColor="text1"/>
              </w:rPr>
              <w:t xml:space="preserve">[This should have been researched more carefully]. </w:t>
            </w:r>
          </w:p>
        </w:tc>
        <w:tc>
          <w:tcPr>
            <w:tcW w:w="4956" w:type="dxa"/>
          </w:tcPr>
          <w:p w14:paraId="065B6AC2" w14:textId="77777777" w:rsidR="00312B25" w:rsidRPr="00B811E3" w:rsidRDefault="00312B25" w:rsidP="00B811E3">
            <w:pPr>
              <w:ind w:right="0"/>
              <w:rPr>
                <w:rFonts w:eastAsia="Calibri"/>
                <w:color w:val="000000" w:themeColor="text1"/>
                <w:highlight w:val="cyan"/>
              </w:rPr>
            </w:pPr>
          </w:p>
        </w:tc>
      </w:tr>
      <w:tr w:rsidR="00312B25" w:rsidRPr="005D1C78" w14:paraId="1CE62622" w14:textId="77777777" w:rsidTr="00312B25">
        <w:trPr>
          <w:trHeight w:val="1134"/>
        </w:trPr>
        <w:tc>
          <w:tcPr>
            <w:tcW w:w="250" w:type="dxa"/>
          </w:tcPr>
          <w:p w14:paraId="17469CCE" w14:textId="77777777" w:rsidR="00312B25" w:rsidRPr="00511CF0" w:rsidRDefault="00312B25" w:rsidP="00B811E3">
            <w:pPr>
              <w:ind w:right="-110"/>
              <w:rPr>
                <w:highlight w:val="cyan"/>
              </w:rPr>
            </w:pPr>
          </w:p>
        </w:tc>
        <w:tc>
          <w:tcPr>
            <w:tcW w:w="2093" w:type="dxa"/>
          </w:tcPr>
          <w:p w14:paraId="0AFA3E8A" w14:textId="77777777" w:rsidR="00312B25" w:rsidRPr="00B811E3" w:rsidRDefault="00312B25" w:rsidP="00B811E3">
            <w:pPr>
              <w:ind w:right="-94"/>
              <w:rPr>
                <w:i/>
                <w:color w:val="000000" w:themeColor="text1"/>
              </w:rPr>
            </w:pPr>
            <w:r w:rsidRPr="00B811E3">
              <w:rPr>
                <w:i/>
                <w:color w:val="000000" w:themeColor="text1"/>
              </w:rPr>
              <w:t>2. Methodology for the market study</w:t>
            </w:r>
          </w:p>
        </w:tc>
        <w:tc>
          <w:tcPr>
            <w:tcW w:w="770" w:type="dxa"/>
          </w:tcPr>
          <w:p w14:paraId="3D3DF459" w14:textId="77777777" w:rsidR="00312B25" w:rsidRPr="00B811E3" w:rsidRDefault="00312B25" w:rsidP="00B811E3">
            <w:pPr>
              <w:ind w:right="-77"/>
              <w:rPr>
                <w:i/>
                <w:color w:val="000000" w:themeColor="text1"/>
              </w:rPr>
            </w:pPr>
            <w:r w:rsidRPr="00B811E3">
              <w:rPr>
                <w:i/>
                <w:color w:val="000000" w:themeColor="text1"/>
              </w:rPr>
              <w:t>15</w:t>
            </w:r>
          </w:p>
        </w:tc>
        <w:tc>
          <w:tcPr>
            <w:tcW w:w="2267" w:type="dxa"/>
          </w:tcPr>
          <w:p w14:paraId="0CD3C75D" w14:textId="77777777" w:rsidR="00312B25" w:rsidRPr="00B811E3" w:rsidRDefault="00312B25" w:rsidP="00B811E3">
            <w:pPr>
              <w:ind w:right="-120"/>
              <w:rPr>
                <w:i/>
                <w:color w:val="000000" w:themeColor="text1"/>
              </w:rPr>
            </w:pPr>
            <w:r w:rsidRPr="00B811E3">
              <w:rPr>
                <w:i/>
                <w:color w:val="000000" w:themeColor="text1"/>
              </w:rPr>
              <w:t>R39</w:t>
            </w:r>
          </w:p>
        </w:tc>
        <w:tc>
          <w:tcPr>
            <w:tcW w:w="4538" w:type="dxa"/>
          </w:tcPr>
          <w:p w14:paraId="3393E3C6" w14:textId="77777777" w:rsidR="00312B25" w:rsidRPr="00B811E3" w:rsidRDefault="00312B25" w:rsidP="00B811E3">
            <w:pPr>
              <w:rPr>
                <w:i/>
                <w:color w:val="000000" w:themeColor="text1"/>
              </w:rPr>
            </w:pPr>
            <w:r w:rsidRPr="00B811E3">
              <w:rPr>
                <w:i/>
                <w:color w:val="000000" w:themeColor="text1"/>
              </w:rPr>
              <w:t>Form factor: For R39, R50/63/80, it is assumed too easily that consumers may compromise on shape, because most luminaires for spots are typically designed around the bulb shape (</w:t>
            </w:r>
            <w:proofErr w:type="spellStart"/>
            <w:r w:rsidRPr="00B811E3">
              <w:rPr>
                <w:i/>
                <w:color w:val="000000" w:themeColor="text1"/>
              </w:rPr>
              <w:t>eg</w:t>
            </w:r>
            <w:proofErr w:type="spellEnd"/>
            <w:r w:rsidRPr="00B811E3">
              <w:rPr>
                <w:i/>
                <w:color w:val="000000" w:themeColor="text1"/>
              </w:rPr>
              <w:t xml:space="preserve"> </w:t>
            </w:r>
            <w:r w:rsidRPr="00B811E3">
              <w:rPr>
                <w:i/>
                <w:color w:val="000000" w:themeColor="text1"/>
              </w:rPr>
              <w:lastRenderedPageBreak/>
              <w:t>R50 does not fit in R39 luminaire).</w:t>
            </w:r>
          </w:p>
          <w:p w14:paraId="4B95E41E" w14:textId="77777777" w:rsidR="00312B25" w:rsidRPr="00B811E3" w:rsidRDefault="00312B25" w:rsidP="00B811E3">
            <w:pPr>
              <w:rPr>
                <w:i/>
                <w:color w:val="000000" w:themeColor="text1"/>
              </w:rPr>
            </w:pPr>
          </w:p>
          <w:p w14:paraId="505D2DC9" w14:textId="77777777" w:rsidR="00312B25" w:rsidRPr="00B811E3" w:rsidRDefault="00312B25" w:rsidP="00B811E3">
            <w:pPr>
              <w:ind w:right="-120"/>
              <w:rPr>
                <w:i/>
                <w:color w:val="000000" w:themeColor="text1"/>
              </w:rPr>
            </w:pPr>
          </w:p>
        </w:tc>
        <w:tc>
          <w:tcPr>
            <w:tcW w:w="4956" w:type="dxa"/>
          </w:tcPr>
          <w:p w14:paraId="21B25E86" w14:textId="77777777" w:rsidR="00312B25" w:rsidRPr="00511CF0" w:rsidRDefault="00312B25" w:rsidP="00B811E3">
            <w:pPr>
              <w:rPr>
                <w:highlight w:val="cyan"/>
              </w:rPr>
            </w:pPr>
          </w:p>
        </w:tc>
      </w:tr>
      <w:tr w:rsidR="00312B25" w:rsidRPr="00942441" w14:paraId="2046DE00" w14:textId="77777777" w:rsidTr="00312B25">
        <w:tc>
          <w:tcPr>
            <w:tcW w:w="250" w:type="dxa"/>
          </w:tcPr>
          <w:p w14:paraId="4451A72A" w14:textId="77777777" w:rsidR="00312B25" w:rsidRPr="00511CF0" w:rsidRDefault="00312B25" w:rsidP="00B811E3">
            <w:pPr>
              <w:ind w:right="-110"/>
              <w:rPr>
                <w:highlight w:val="cyan"/>
              </w:rPr>
            </w:pPr>
            <w:r>
              <w:lastRenderedPageBreak/>
              <w:br w:type="page"/>
            </w:r>
          </w:p>
        </w:tc>
        <w:tc>
          <w:tcPr>
            <w:tcW w:w="2093" w:type="dxa"/>
          </w:tcPr>
          <w:p w14:paraId="0B86D4AC" w14:textId="77777777" w:rsidR="00312B25" w:rsidRPr="00B811E3" w:rsidRDefault="00312B25" w:rsidP="00B811E3">
            <w:pPr>
              <w:ind w:right="-110"/>
              <w:rPr>
                <w:i/>
                <w:color w:val="000000" w:themeColor="text1"/>
              </w:rPr>
            </w:pPr>
            <w:r w:rsidRPr="00B811E3">
              <w:rPr>
                <w:i/>
                <w:color w:val="000000" w:themeColor="text1"/>
              </w:rPr>
              <w:t>3. MV DLS equivalence data</w:t>
            </w:r>
          </w:p>
        </w:tc>
        <w:tc>
          <w:tcPr>
            <w:tcW w:w="770" w:type="dxa"/>
          </w:tcPr>
          <w:p w14:paraId="4E9978DD" w14:textId="77777777" w:rsidR="00312B25" w:rsidRPr="00B811E3" w:rsidRDefault="00312B25" w:rsidP="00B811E3">
            <w:pPr>
              <w:ind w:right="0"/>
              <w:rPr>
                <w:i/>
                <w:color w:val="000000" w:themeColor="text1"/>
              </w:rPr>
            </w:pPr>
            <w:r w:rsidRPr="00B811E3">
              <w:rPr>
                <w:i/>
                <w:color w:val="000000" w:themeColor="text1"/>
              </w:rPr>
              <w:t>15</w:t>
            </w:r>
          </w:p>
        </w:tc>
        <w:tc>
          <w:tcPr>
            <w:tcW w:w="2267" w:type="dxa"/>
          </w:tcPr>
          <w:p w14:paraId="70BEA0D5" w14:textId="77777777" w:rsidR="00312B25" w:rsidRPr="00B811E3" w:rsidRDefault="00312B25" w:rsidP="00B811E3">
            <w:pPr>
              <w:rPr>
                <w:i/>
                <w:color w:val="000000" w:themeColor="text1"/>
              </w:rPr>
            </w:pPr>
            <w:r w:rsidRPr="00B811E3">
              <w:rPr>
                <w:i/>
                <w:color w:val="000000" w:themeColor="text1"/>
              </w:rPr>
              <w:t>R39</w:t>
            </w:r>
          </w:p>
        </w:tc>
        <w:tc>
          <w:tcPr>
            <w:tcW w:w="4538" w:type="dxa"/>
          </w:tcPr>
          <w:p w14:paraId="5C2CF075" w14:textId="77777777" w:rsidR="00312B25" w:rsidRPr="00B811E3" w:rsidRDefault="00312B25" w:rsidP="00B811E3">
            <w:pPr>
              <w:rPr>
                <w:i/>
                <w:color w:val="000000" w:themeColor="text1"/>
              </w:rPr>
            </w:pPr>
            <w:r w:rsidRPr="00B811E3">
              <w:rPr>
                <w:i/>
                <w:color w:val="000000" w:themeColor="text1"/>
              </w:rPr>
              <w:t>different from VITO conclusion, R39 has NO LED alternative with beam angle even close, other lamp (R50) will not fit in most cases and non-dimmable. Wide availability is doubtful</w:t>
            </w:r>
          </w:p>
        </w:tc>
        <w:tc>
          <w:tcPr>
            <w:tcW w:w="4956" w:type="dxa"/>
          </w:tcPr>
          <w:p w14:paraId="431193B1" w14:textId="77777777" w:rsidR="00312B25" w:rsidRPr="00511CF0" w:rsidRDefault="00312B25" w:rsidP="00B811E3">
            <w:pPr>
              <w:rPr>
                <w:highlight w:val="cyan"/>
              </w:rPr>
            </w:pPr>
          </w:p>
        </w:tc>
      </w:tr>
      <w:tr w:rsidR="00312B25" w14:paraId="3E8039C8" w14:textId="77777777" w:rsidTr="00312B25">
        <w:tc>
          <w:tcPr>
            <w:tcW w:w="250" w:type="dxa"/>
          </w:tcPr>
          <w:p w14:paraId="59BF7AF8" w14:textId="77777777" w:rsidR="00312B25" w:rsidRPr="00511CF0" w:rsidRDefault="00312B25" w:rsidP="00B811E3">
            <w:pPr>
              <w:ind w:right="0"/>
              <w:rPr>
                <w:highlight w:val="cyan"/>
              </w:rPr>
            </w:pPr>
          </w:p>
        </w:tc>
        <w:tc>
          <w:tcPr>
            <w:tcW w:w="2093" w:type="dxa"/>
          </w:tcPr>
          <w:p w14:paraId="21DD5530" w14:textId="77777777" w:rsidR="00312B25" w:rsidRPr="00B811E3" w:rsidRDefault="00312B25" w:rsidP="00B811E3">
            <w:pPr>
              <w:ind w:right="0"/>
              <w:rPr>
                <w:i/>
                <w:color w:val="000000" w:themeColor="text1"/>
              </w:rPr>
            </w:pPr>
            <w:r w:rsidRPr="00B811E3">
              <w:rPr>
                <w:i/>
                <w:color w:val="000000" w:themeColor="text1"/>
              </w:rPr>
              <w:t>3. MV DLS equivalence data</w:t>
            </w:r>
          </w:p>
        </w:tc>
        <w:tc>
          <w:tcPr>
            <w:tcW w:w="770" w:type="dxa"/>
          </w:tcPr>
          <w:p w14:paraId="4319C4CA" w14:textId="77777777" w:rsidR="00312B25" w:rsidRPr="00B811E3" w:rsidRDefault="00312B25" w:rsidP="00B811E3">
            <w:pPr>
              <w:ind w:right="0"/>
              <w:rPr>
                <w:i/>
                <w:color w:val="000000" w:themeColor="text1"/>
              </w:rPr>
            </w:pPr>
            <w:r w:rsidRPr="00B811E3">
              <w:rPr>
                <w:i/>
                <w:color w:val="000000" w:themeColor="text1"/>
              </w:rPr>
              <w:t>22</w:t>
            </w:r>
          </w:p>
        </w:tc>
        <w:tc>
          <w:tcPr>
            <w:tcW w:w="2267" w:type="dxa"/>
          </w:tcPr>
          <w:p w14:paraId="4E9F559E" w14:textId="77777777" w:rsidR="00312B25" w:rsidRPr="00B811E3" w:rsidRDefault="00312B25" w:rsidP="00B811E3">
            <w:pPr>
              <w:ind w:right="0"/>
              <w:rPr>
                <w:i/>
                <w:color w:val="000000" w:themeColor="text1"/>
              </w:rPr>
            </w:pPr>
            <w:r w:rsidRPr="00B811E3">
              <w:rPr>
                <w:i/>
                <w:color w:val="000000" w:themeColor="text1"/>
              </w:rPr>
              <w:t>R63</w:t>
            </w:r>
          </w:p>
        </w:tc>
        <w:tc>
          <w:tcPr>
            <w:tcW w:w="4538" w:type="dxa"/>
          </w:tcPr>
          <w:p w14:paraId="51A47F3D" w14:textId="77777777" w:rsidR="00312B25" w:rsidRPr="00B811E3" w:rsidRDefault="00312B25" w:rsidP="00B811E3">
            <w:pPr>
              <w:rPr>
                <w:i/>
                <w:color w:val="000000" w:themeColor="text1"/>
              </w:rPr>
            </w:pPr>
            <w:r w:rsidRPr="00B811E3">
              <w:rPr>
                <w:i/>
                <w:color w:val="000000" w:themeColor="text1"/>
              </w:rPr>
              <w:t xml:space="preserve">R63 has no alternative for lumen packages below 400lm which is the domain of the common GLS/Halogen types. </w:t>
            </w:r>
          </w:p>
          <w:p w14:paraId="2EB23621" w14:textId="77777777" w:rsidR="00312B25" w:rsidRPr="00B811E3" w:rsidRDefault="00312B25" w:rsidP="00B811E3">
            <w:pPr>
              <w:ind w:right="0"/>
              <w:rPr>
                <w:i/>
                <w:color w:val="000000" w:themeColor="text1"/>
              </w:rPr>
            </w:pPr>
          </w:p>
        </w:tc>
        <w:tc>
          <w:tcPr>
            <w:tcW w:w="4956" w:type="dxa"/>
          </w:tcPr>
          <w:p w14:paraId="05D36A35" w14:textId="77777777" w:rsidR="00312B25" w:rsidRPr="00511CF0" w:rsidRDefault="00312B25" w:rsidP="00B811E3">
            <w:pPr>
              <w:ind w:right="0"/>
              <w:rPr>
                <w:rFonts w:eastAsia="Calibri"/>
                <w:highlight w:val="cyan"/>
              </w:rPr>
            </w:pPr>
          </w:p>
        </w:tc>
      </w:tr>
      <w:tr w:rsidR="00312B25" w:rsidRPr="005D1C78" w14:paraId="2F027194" w14:textId="77777777" w:rsidTr="00312B25">
        <w:trPr>
          <w:trHeight w:val="1134"/>
        </w:trPr>
        <w:tc>
          <w:tcPr>
            <w:tcW w:w="250" w:type="dxa"/>
          </w:tcPr>
          <w:p w14:paraId="58357DC1" w14:textId="77777777" w:rsidR="00312B25" w:rsidRPr="002D1CD0" w:rsidRDefault="00312B25" w:rsidP="00B811E3">
            <w:pPr>
              <w:ind w:right="-110"/>
              <w:rPr>
                <w:highlight w:val="green"/>
              </w:rPr>
            </w:pPr>
          </w:p>
        </w:tc>
        <w:tc>
          <w:tcPr>
            <w:tcW w:w="2093" w:type="dxa"/>
          </w:tcPr>
          <w:p w14:paraId="172635A0" w14:textId="77777777" w:rsidR="00312B25" w:rsidRPr="00B811E3" w:rsidRDefault="00312B25" w:rsidP="00B811E3">
            <w:pPr>
              <w:ind w:right="-94"/>
              <w:rPr>
                <w:i/>
                <w:color w:val="000000" w:themeColor="text1"/>
              </w:rPr>
            </w:pPr>
            <w:r w:rsidRPr="00B811E3">
              <w:rPr>
                <w:i/>
                <w:color w:val="000000" w:themeColor="text1"/>
              </w:rPr>
              <w:t>3. MV DLS equivalence data</w:t>
            </w:r>
          </w:p>
        </w:tc>
        <w:tc>
          <w:tcPr>
            <w:tcW w:w="770" w:type="dxa"/>
          </w:tcPr>
          <w:p w14:paraId="2FE3ECCE" w14:textId="77777777" w:rsidR="00312B25" w:rsidRPr="00B811E3" w:rsidRDefault="00312B25" w:rsidP="00B811E3">
            <w:pPr>
              <w:ind w:right="-77"/>
              <w:rPr>
                <w:i/>
                <w:color w:val="000000" w:themeColor="text1"/>
              </w:rPr>
            </w:pPr>
            <w:r w:rsidRPr="00B811E3">
              <w:rPr>
                <w:i/>
                <w:color w:val="000000" w:themeColor="text1"/>
              </w:rPr>
              <w:t>26</w:t>
            </w:r>
          </w:p>
        </w:tc>
        <w:tc>
          <w:tcPr>
            <w:tcW w:w="2267" w:type="dxa"/>
          </w:tcPr>
          <w:p w14:paraId="56005EB8" w14:textId="77777777" w:rsidR="00312B25" w:rsidRPr="00B811E3" w:rsidRDefault="00312B25" w:rsidP="00B811E3">
            <w:pPr>
              <w:rPr>
                <w:i/>
                <w:color w:val="000000" w:themeColor="text1"/>
              </w:rPr>
            </w:pPr>
            <w:r w:rsidRPr="00B811E3">
              <w:rPr>
                <w:i/>
                <w:color w:val="000000" w:themeColor="text1"/>
              </w:rPr>
              <w:t>PAR20</w:t>
            </w:r>
          </w:p>
        </w:tc>
        <w:tc>
          <w:tcPr>
            <w:tcW w:w="4538" w:type="dxa"/>
          </w:tcPr>
          <w:p w14:paraId="673EA869" w14:textId="77777777" w:rsidR="00312B25" w:rsidRPr="00B811E3" w:rsidRDefault="00312B25" w:rsidP="00B811E3">
            <w:pPr>
              <w:rPr>
                <w:i/>
                <w:color w:val="000000" w:themeColor="text1"/>
              </w:rPr>
            </w:pPr>
            <w:r w:rsidRPr="00B811E3">
              <w:rPr>
                <w:i/>
                <w:color w:val="000000" w:themeColor="text1"/>
              </w:rPr>
              <w:t>PAR20 affordability doubtful (&gt;20 euro).</w:t>
            </w:r>
          </w:p>
          <w:p w14:paraId="69CFAFBD" w14:textId="77777777" w:rsidR="00312B25" w:rsidRPr="00B811E3" w:rsidRDefault="00312B25" w:rsidP="00B811E3">
            <w:pPr>
              <w:rPr>
                <w:i/>
                <w:color w:val="000000" w:themeColor="text1"/>
              </w:rPr>
            </w:pPr>
          </w:p>
        </w:tc>
        <w:tc>
          <w:tcPr>
            <w:tcW w:w="4956" w:type="dxa"/>
          </w:tcPr>
          <w:p w14:paraId="5F95DF91" w14:textId="77777777" w:rsidR="00312B25" w:rsidRPr="002D1CD0" w:rsidRDefault="00312B25" w:rsidP="00B811E3">
            <w:pPr>
              <w:ind w:right="0"/>
              <w:rPr>
                <w:highlight w:val="green"/>
              </w:rPr>
            </w:pPr>
          </w:p>
        </w:tc>
      </w:tr>
      <w:tr w:rsidR="00312B25" w:rsidRPr="005D1C78" w14:paraId="7ACCF4A3" w14:textId="77777777" w:rsidTr="00312B25">
        <w:trPr>
          <w:trHeight w:val="1134"/>
        </w:trPr>
        <w:tc>
          <w:tcPr>
            <w:tcW w:w="250" w:type="dxa"/>
          </w:tcPr>
          <w:p w14:paraId="0BCC0FE3" w14:textId="77777777" w:rsidR="00312B25" w:rsidRPr="002E6D23" w:rsidRDefault="00312B25" w:rsidP="00B811E3">
            <w:pPr>
              <w:ind w:right="0"/>
            </w:pPr>
          </w:p>
        </w:tc>
        <w:tc>
          <w:tcPr>
            <w:tcW w:w="2093" w:type="dxa"/>
          </w:tcPr>
          <w:p w14:paraId="2E8A3821" w14:textId="77777777" w:rsidR="00312B25" w:rsidRPr="00B811E3" w:rsidRDefault="00312B25" w:rsidP="00B811E3">
            <w:pPr>
              <w:ind w:right="0"/>
              <w:rPr>
                <w:i/>
                <w:color w:val="000000" w:themeColor="text1"/>
              </w:rPr>
            </w:pPr>
            <w:r w:rsidRPr="00B811E3">
              <w:rPr>
                <w:i/>
                <w:color w:val="000000" w:themeColor="text1"/>
              </w:rPr>
              <w:t>3. MV DLS equivalence data</w:t>
            </w:r>
          </w:p>
        </w:tc>
        <w:tc>
          <w:tcPr>
            <w:tcW w:w="770" w:type="dxa"/>
          </w:tcPr>
          <w:p w14:paraId="07981A77" w14:textId="77777777" w:rsidR="00312B25" w:rsidRPr="00B811E3" w:rsidRDefault="00312B25" w:rsidP="00B811E3">
            <w:pPr>
              <w:ind w:right="0"/>
              <w:rPr>
                <w:i/>
                <w:color w:val="000000" w:themeColor="text1"/>
              </w:rPr>
            </w:pPr>
            <w:r w:rsidRPr="00B811E3">
              <w:rPr>
                <w:i/>
                <w:color w:val="000000" w:themeColor="text1"/>
              </w:rPr>
              <w:t>32</w:t>
            </w:r>
          </w:p>
        </w:tc>
        <w:tc>
          <w:tcPr>
            <w:tcW w:w="2267" w:type="dxa"/>
          </w:tcPr>
          <w:p w14:paraId="713BFDDA" w14:textId="77777777" w:rsidR="00312B25" w:rsidRPr="00B811E3" w:rsidRDefault="00312B25" w:rsidP="00B811E3">
            <w:pPr>
              <w:ind w:right="0"/>
              <w:rPr>
                <w:i/>
                <w:color w:val="000000" w:themeColor="text1"/>
              </w:rPr>
            </w:pPr>
            <w:r w:rsidRPr="00B811E3">
              <w:rPr>
                <w:i/>
                <w:color w:val="000000" w:themeColor="text1"/>
              </w:rPr>
              <w:t>PAR38</w:t>
            </w:r>
          </w:p>
        </w:tc>
        <w:tc>
          <w:tcPr>
            <w:tcW w:w="4538" w:type="dxa"/>
            <w:shd w:val="clear" w:color="auto" w:fill="auto"/>
          </w:tcPr>
          <w:p w14:paraId="25867DFF" w14:textId="77777777" w:rsidR="00312B25" w:rsidRPr="00B811E3" w:rsidRDefault="00312B25" w:rsidP="00B811E3">
            <w:pPr>
              <w:rPr>
                <w:i/>
                <w:color w:val="000000" w:themeColor="text1"/>
              </w:rPr>
            </w:pPr>
            <w:r w:rsidRPr="00B811E3">
              <w:rPr>
                <w:i/>
                <w:color w:val="000000" w:themeColor="text1"/>
              </w:rPr>
              <w:t>PAR38: few LED lamps fulfil EEI &lt;0</w:t>
            </w:r>
            <w:proofErr w:type="gramStart"/>
            <w:r w:rsidRPr="00B811E3">
              <w:rPr>
                <w:i/>
                <w:color w:val="000000" w:themeColor="text1"/>
              </w:rPr>
              <w:t>,2</w:t>
            </w:r>
            <w:proofErr w:type="gramEnd"/>
            <w:r w:rsidRPr="00B811E3">
              <w:rPr>
                <w:i/>
                <w:color w:val="000000" w:themeColor="text1"/>
              </w:rPr>
              <w:t>; affordability highly doubtful (&gt;40 euro versus 8!).</w:t>
            </w:r>
          </w:p>
          <w:p w14:paraId="339C6565" w14:textId="77777777" w:rsidR="00312B25" w:rsidRPr="00B811E3" w:rsidRDefault="00312B25" w:rsidP="00B811E3">
            <w:pPr>
              <w:ind w:right="0"/>
              <w:rPr>
                <w:i/>
                <w:color w:val="000000" w:themeColor="text1"/>
              </w:rPr>
            </w:pPr>
          </w:p>
        </w:tc>
        <w:tc>
          <w:tcPr>
            <w:tcW w:w="4956" w:type="dxa"/>
          </w:tcPr>
          <w:p w14:paraId="11EAB1A8" w14:textId="77777777" w:rsidR="00312B25" w:rsidRPr="005D1C78" w:rsidRDefault="00312B25" w:rsidP="00B811E3">
            <w:pPr>
              <w:ind w:right="0"/>
            </w:pPr>
          </w:p>
        </w:tc>
      </w:tr>
      <w:tr w:rsidR="00312B25" w:rsidRPr="005D1C78" w14:paraId="229E7669" w14:textId="77777777" w:rsidTr="00312B25">
        <w:trPr>
          <w:trHeight w:val="1134"/>
        </w:trPr>
        <w:tc>
          <w:tcPr>
            <w:tcW w:w="250" w:type="dxa"/>
          </w:tcPr>
          <w:p w14:paraId="23D21A69" w14:textId="77777777" w:rsidR="00312B25" w:rsidRPr="002E6D23" w:rsidRDefault="00312B25" w:rsidP="00B811E3">
            <w:pPr>
              <w:ind w:right="0"/>
            </w:pPr>
          </w:p>
        </w:tc>
        <w:tc>
          <w:tcPr>
            <w:tcW w:w="2093" w:type="dxa"/>
          </w:tcPr>
          <w:p w14:paraId="4E4BF819" w14:textId="77777777" w:rsidR="00312B25" w:rsidRPr="00B811E3" w:rsidRDefault="00312B25" w:rsidP="00B811E3">
            <w:pPr>
              <w:ind w:right="0"/>
              <w:rPr>
                <w:color w:val="000000" w:themeColor="text1"/>
              </w:rPr>
            </w:pPr>
            <w:r w:rsidRPr="00B811E3">
              <w:rPr>
                <w:i/>
                <w:color w:val="000000" w:themeColor="text1"/>
              </w:rPr>
              <w:t>4 MV DLS Prices</w:t>
            </w:r>
          </w:p>
        </w:tc>
        <w:tc>
          <w:tcPr>
            <w:tcW w:w="770" w:type="dxa"/>
          </w:tcPr>
          <w:p w14:paraId="5379BBA3" w14:textId="77777777" w:rsidR="00312B25" w:rsidRPr="00B811E3" w:rsidRDefault="00312B25" w:rsidP="00B811E3">
            <w:pPr>
              <w:ind w:right="0"/>
              <w:rPr>
                <w:i/>
                <w:color w:val="000000" w:themeColor="text1"/>
              </w:rPr>
            </w:pPr>
            <w:r w:rsidRPr="00B811E3">
              <w:rPr>
                <w:i/>
                <w:color w:val="000000" w:themeColor="text1"/>
              </w:rPr>
              <w:t>66</w:t>
            </w:r>
          </w:p>
        </w:tc>
        <w:tc>
          <w:tcPr>
            <w:tcW w:w="2267" w:type="dxa"/>
          </w:tcPr>
          <w:p w14:paraId="00202CEB" w14:textId="77777777" w:rsidR="00312B25" w:rsidRPr="00B811E3" w:rsidRDefault="00312B25" w:rsidP="00B811E3">
            <w:pPr>
              <w:ind w:right="0"/>
              <w:rPr>
                <w:i/>
                <w:color w:val="000000" w:themeColor="text1"/>
              </w:rPr>
            </w:pPr>
            <w:r w:rsidRPr="00B811E3">
              <w:rPr>
                <w:i/>
                <w:color w:val="000000" w:themeColor="text1"/>
              </w:rPr>
              <w:t xml:space="preserve">Figure 3 shows an estimate by the study team of the price ranges for mains voltage directional halogen lamps and their potential LED retrofits. Considering these price differences, depending on the </w:t>
            </w:r>
            <w:r w:rsidRPr="00B811E3">
              <w:rPr>
                <w:i/>
                <w:color w:val="000000" w:themeColor="text1"/>
              </w:rPr>
              <w:lastRenderedPageBreak/>
              <w:t>intensity of use of the lamps, pay-back times of around one year are possible.</w:t>
            </w:r>
          </w:p>
        </w:tc>
        <w:tc>
          <w:tcPr>
            <w:tcW w:w="4538" w:type="dxa"/>
          </w:tcPr>
          <w:p w14:paraId="6D67D888" w14:textId="77777777" w:rsidR="00312B25" w:rsidRPr="00B811E3" w:rsidRDefault="00312B25" w:rsidP="00B811E3">
            <w:pPr>
              <w:ind w:right="0"/>
              <w:rPr>
                <w:i/>
                <w:color w:val="000000" w:themeColor="text1"/>
              </w:rPr>
            </w:pPr>
            <w:r w:rsidRPr="00B811E3">
              <w:rPr>
                <w:i/>
                <w:color w:val="000000" w:themeColor="text1"/>
              </w:rPr>
              <w:lastRenderedPageBreak/>
              <w:t>[</w:t>
            </w:r>
            <w:proofErr w:type="gramStart"/>
            <w:r w:rsidRPr="00B811E3">
              <w:rPr>
                <w:i/>
                <w:color w:val="000000" w:themeColor="text1"/>
              </w:rPr>
              <w:t>conclusions</w:t>
            </w:r>
            <w:proofErr w:type="gramEnd"/>
            <w:r w:rsidRPr="00B811E3">
              <w:rPr>
                <w:i/>
                <w:color w:val="000000" w:themeColor="text1"/>
              </w:rPr>
              <w:t xml:space="preserve"> on </w:t>
            </w:r>
            <w:proofErr w:type="spellStart"/>
            <w:r w:rsidRPr="00B811E3">
              <w:rPr>
                <w:i/>
                <w:color w:val="000000" w:themeColor="text1"/>
              </w:rPr>
              <w:t>pay back</w:t>
            </w:r>
            <w:proofErr w:type="spellEnd"/>
            <w:r w:rsidRPr="00B811E3">
              <w:rPr>
                <w:i/>
                <w:color w:val="000000" w:themeColor="text1"/>
              </w:rPr>
              <w:t xml:space="preserve"> time not underpinned. Example E14 LED of 14 Euro versus a E14 Halogen of 2 Euro can hardly be considered affordable alternatives idem 18 versus 2,5 Euro]</w:t>
            </w:r>
          </w:p>
        </w:tc>
        <w:tc>
          <w:tcPr>
            <w:tcW w:w="4956" w:type="dxa"/>
          </w:tcPr>
          <w:p w14:paraId="43EADD35" w14:textId="77777777" w:rsidR="00312B25" w:rsidRPr="005D1C78" w:rsidRDefault="00312B25" w:rsidP="00B811E3">
            <w:pPr>
              <w:ind w:right="0"/>
            </w:pPr>
          </w:p>
        </w:tc>
      </w:tr>
      <w:tr w:rsidR="00312B25" w:rsidRPr="005D1C78" w14:paraId="278C5BF7" w14:textId="77777777" w:rsidTr="00312B25">
        <w:trPr>
          <w:trHeight w:val="1134"/>
        </w:trPr>
        <w:tc>
          <w:tcPr>
            <w:tcW w:w="250" w:type="dxa"/>
          </w:tcPr>
          <w:p w14:paraId="3431667F" w14:textId="77777777" w:rsidR="00312B25" w:rsidRPr="002E6D23" w:rsidRDefault="00312B25" w:rsidP="00B811E3">
            <w:pPr>
              <w:ind w:right="0"/>
            </w:pPr>
          </w:p>
        </w:tc>
        <w:tc>
          <w:tcPr>
            <w:tcW w:w="2093" w:type="dxa"/>
          </w:tcPr>
          <w:p w14:paraId="6635F37F" w14:textId="77777777" w:rsidR="00312B25" w:rsidRPr="00B811E3" w:rsidRDefault="00312B25" w:rsidP="00B811E3">
            <w:pPr>
              <w:ind w:right="0"/>
              <w:rPr>
                <w:i/>
                <w:color w:val="000000" w:themeColor="text1"/>
              </w:rPr>
            </w:pPr>
            <w:r w:rsidRPr="00B811E3">
              <w:rPr>
                <w:i/>
                <w:color w:val="000000" w:themeColor="text1"/>
              </w:rPr>
              <w:t>4 MV DLS Prices</w:t>
            </w:r>
          </w:p>
        </w:tc>
        <w:tc>
          <w:tcPr>
            <w:tcW w:w="770" w:type="dxa"/>
          </w:tcPr>
          <w:p w14:paraId="3ECB356A" w14:textId="77777777" w:rsidR="00312B25" w:rsidRPr="00B811E3" w:rsidRDefault="00312B25" w:rsidP="00B811E3">
            <w:pPr>
              <w:ind w:right="0"/>
              <w:rPr>
                <w:i/>
                <w:color w:val="000000" w:themeColor="text1"/>
              </w:rPr>
            </w:pPr>
            <w:r w:rsidRPr="00B811E3">
              <w:rPr>
                <w:i/>
                <w:color w:val="000000" w:themeColor="text1"/>
              </w:rPr>
              <w:t>66</w:t>
            </w:r>
          </w:p>
        </w:tc>
        <w:tc>
          <w:tcPr>
            <w:tcW w:w="2267" w:type="dxa"/>
          </w:tcPr>
          <w:p w14:paraId="14CCFB07" w14:textId="77777777" w:rsidR="00312B25" w:rsidRPr="00B811E3" w:rsidRDefault="00312B25" w:rsidP="00B811E3">
            <w:pPr>
              <w:ind w:right="0"/>
              <w:rPr>
                <w:i/>
                <w:color w:val="000000" w:themeColor="text1"/>
              </w:rPr>
            </w:pPr>
            <w:r w:rsidRPr="00B811E3">
              <w:rPr>
                <w:i/>
                <w:color w:val="000000" w:themeColor="text1"/>
              </w:rPr>
              <w:t>Figure 3 shows an estimate by the study team of the price ranges for mains voltage directional halogen lamps and their potential LED retrofits. Considering these price differences, depending on the intensity of use of the lamps, pay-back times of around one year are possible.</w:t>
            </w:r>
          </w:p>
        </w:tc>
        <w:tc>
          <w:tcPr>
            <w:tcW w:w="4538" w:type="dxa"/>
          </w:tcPr>
          <w:p w14:paraId="16C6F504" w14:textId="77777777" w:rsidR="00312B25" w:rsidRPr="00B811E3" w:rsidRDefault="00312B25" w:rsidP="00B811E3">
            <w:pPr>
              <w:rPr>
                <w:i/>
                <w:color w:val="000000" w:themeColor="text1"/>
              </w:rPr>
            </w:pPr>
            <w:r w:rsidRPr="00B811E3">
              <w:rPr>
                <w:i/>
                <w:color w:val="000000" w:themeColor="text1"/>
              </w:rPr>
              <w:t>Classification of “affordability” is doubtful; where lies the boundary of “affordability” (not entailing excessive cost…</w:t>
            </w:r>
            <w:proofErr w:type="gramStart"/>
            <w:r w:rsidRPr="00B811E3">
              <w:rPr>
                <w:i/>
                <w:color w:val="000000" w:themeColor="text1"/>
              </w:rPr>
              <w:t>) .</w:t>
            </w:r>
            <w:proofErr w:type="gramEnd"/>
            <w:r w:rsidRPr="00B811E3">
              <w:rPr>
                <w:i/>
                <w:color w:val="000000" w:themeColor="text1"/>
              </w:rPr>
              <w:t xml:space="preserve"> Concept of “payback time” (+/- 1 year) is rarely understood and considered by consumers. </w:t>
            </w:r>
          </w:p>
          <w:p w14:paraId="69B25A24" w14:textId="77777777" w:rsidR="00312B25" w:rsidRPr="00B811E3" w:rsidRDefault="00312B25" w:rsidP="00B811E3">
            <w:pPr>
              <w:rPr>
                <w:i/>
                <w:color w:val="000000" w:themeColor="text1"/>
              </w:rPr>
            </w:pPr>
            <w:r w:rsidRPr="00B811E3">
              <w:rPr>
                <w:i/>
                <w:color w:val="000000" w:themeColor="text1"/>
              </w:rPr>
              <w:t>Example page 66: GU10 halogen 0</w:t>
            </w:r>
            <w:proofErr w:type="gramStart"/>
            <w:r w:rsidRPr="00B811E3">
              <w:rPr>
                <w:i/>
                <w:color w:val="000000" w:themeColor="text1"/>
              </w:rPr>
              <w:t>,6</w:t>
            </w:r>
            <w:proofErr w:type="gramEnd"/>
            <w:r w:rsidRPr="00B811E3">
              <w:rPr>
                <w:i/>
                <w:color w:val="000000" w:themeColor="text1"/>
              </w:rPr>
              <w:t>-5, but median likely below 2 euro. LED between 1</w:t>
            </w:r>
            <w:proofErr w:type="gramStart"/>
            <w:r w:rsidRPr="00B811E3">
              <w:rPr>
                <w:i/>
                <w:color w:val="000000" w:themeColor="text1"/>
              </w:rPr>
              <w:t>,8</w:t>
            </w:r>
            <w:proofErr w:type="gramEnd"/>
            <w:r w:rsidRPr="00B811E3">
              <w:rPr>
                <w:i/>
                <w:color w:val="000000" w:themeColor="text1"/>
              </w:rPr>
              <w:t xml:space="preserve"> and 10, median likely above 5 euro, for dimmable likely &gt;7 euro. 2 vs 7 is huge difference in view of consumers!</w:t>
            </w:r>
          </w:p>
          <w:p w14:paraId="7A39000D" w14:textId="77777777" w:rsidR="00312B25" w:rsidRPr="00B811E3" w:rsidRDefault="00312B25" w:rsidP="00B811E3">
            <w:pPr>
              <w:rPr>
                <w:i/>
                <w:color w:val="000000" w:themeColor="text1"/>
              </w:rPr>
            </w:pPr>
            <w:r w:rsidRPr="00B811E3">
              <w:rPr>
                <w:b/>
                <w:i/>
                <w:color w:val="000000" w:themeColor="text1"/>
              </w:rPr>
              <w:t xml:space="preserve">The </w:t>
            </w:r>
            <w:proofErr w:type="spellStart"/>
            <w:r w:rsidRPr="00B811E3">
              <w:rPr>
                <w:b/>
                <w:i/>
                <w:color w:val="000000" w:themeColor="text1"/>
              </w:rPr>
              <w:t>preparartory</w:t>
            </w:r>
            <w:proofErr w:type="spellEnd"/>
            <w:r w:rsidRPr="00B811E3">
              <w:rPr>
                <w:b/>
                <w:i/>
                <w:color w:val="000000" w:themeColor="text1"/>
              </w:rPr>
              <w:t xml:space="preserve"> study Lot8/9/19 tasks 6 explicitly mentions a payback time of 2 years for these kind of lamps </w:t>
            </w:r>
          </w:p>
          <w:p w14:paraId="77C3DEEB" w14:textId="77777777" w:rsidR="00312B25" w:rsidRPr="00B811E3" w:rsidRDefault="00312B25" w:rsidP="00B811E3">
            <w:pPr>
              <w:ind w:right="0"/>
              <w:rPr>
                <w:i/>
                <w:color w:val="000000" w:themeColor="text1"/>
              </w:rPr>
            </w:pPr>
          </w:p>
        </w:tc>
        <w:tc>
          <w:tcPr>
            <w:tcW w:w="4956" w:type="dxa"/>
          </w:tcPr>
          <w:p w14:paraId="304BC24D" w14:textId="77777777" w:rsidR="00312B25" w:rsidRPr="005D1C78" w:rsidRDefault="00312B25" w:rsidP="00B811E3">
            <w:pPr>
              <w:ind w:right="0"/>
            </w:pPr>
          </w:p>
        </w:tc>
      </w:tr>
    </w:tbl>
    <w:p w14:paraId="4EB0C78E" w14:textId="77777777" w:rsidR="00B811E3" w:rsidRPr="005D1C78" w:rsidRDefault="00B811E3" w:rsidP="00B811E3"/>
    <w:p w14:paraId="663E4348" w14:textId="77777777" w:rsidR="000073F0" w:rsidRPr="005D1C78" w:rsidRDefault="000073F0" w:rsidP="00312B25">
      <w:pPr>
        <w:pStyle w:val="Heading1"/>
        <w:spacing w:before="0"/>
        <w:rPr>
          <w:rFonts w:ascii="Calibri" w:hAnsi="Calibri" w:cs="Calibri"/>
          <w:color w:val="4F81BD" w:themeColor="accent1"/>
          <w:sz w:val="44"/>
        </w:rPr>
      </w:pPr>
    </w:p>
    <w:p w14:paraId="7302CCD5" w14:textId="77777777" w:rsidR="000073F0" w:rsidRPr="005D1C78" w:rsidRDefault="000073F0" w:rsidP="005D1C78"/>
    <w:tbl>
      <w:tblPr>
        <w:tblStyle w:val="TableGrid"/>
        <w:tblW w:w="5000" w:type="pct"/>
        <w:tblLook w:val="04A0" w:firstRow="1" w:lastRow="0" w:firstColumn="1" w:lastColumn="0" w:noHBand="0" w:noVBand="1"/>
      </w:tblPr>
      <w:tblGrid>
        <w:gridCol w:w="4906"/>
        <w:gridCol w:w="5015"/>
        <w:gridCol w:w="4953"/>
      </w:tblGrid>
      <w:tr w:rsidR="007713FD" w:rsidRPr="005D1C78" w14:paraId="1A88AB98" w14:textId="77777777" w:rsidTr="005D1C78">
        <w:tc>
          <w:tcPr>
            <w:tcW w:w="5070" w:type="dxa"/>
          </w:tcPr>
          <w:p w14:paraId="4D78FDFD" w14:textId="77777777" w:rsidR="00045469" w:rsidRPr="005D1C78" w:rsidRDefault="005D1C78" w:rsidP="005D1C78">
            <w:pPr>
              <w:rPr>
                <w:b/>
              </w:rPr>
            </w:pPr>
            <w:r w:rsidRPr="005D1C78">
              <w:rPr>
                <w:b/>
              </w:rPr>
              <w:t>Organization</w:t>
            </w:r>
            <w:r w:rsidR="00045469" w:rsidRPr="005D1C78">
              <w:rPr>
                <w:b/>
              </w:rPr>
              <w:t xml:space="preserve">: </w:t>
            </w:r>
          </w:p>
          <w:p w14:paraId="35B4C16E" w14:textId="77777777" w:rsidR="00045469" w:rsidRPr="00652FB0" w:rsidRDefault="00652FB0" w:rsidP="005D1C78">
            <w:r>
              <w:t>Lightin</w:t>
            </w:r>
            <w:r w:rsidRPr="00652FB0">
              <w:t>gEurope</w:t>
            </w:r>
          </w:p>
          <w:p w14:paraId="726D6FBA" w14:textId="77777777" w:rsidR="00045469" w:rsidRPr="005D1C78" w:rsidRDefault="00045469" w:rsidP="005D1C78">
            <w:pPr>
              <w:rPr>
                <w:b/>
              </w:rPr>
            </w:pPr>
          </w:p>
        </w:tc>
        <w:tc>
          <w:tcPr>
            <w:tcW w:w="5251" w:type="dxa"/>
          </w:tcPr>
          <w:p w14:paraId="6B641972" w14:textId="34FBEBF3" w:rsidR="00045469" w:rsidRDefault="00045469" w:rsidP="005D1C78"/>
          <w:p w14:paraId="7A311363" w14:textId="77777777" w:rsidR="005D1C78" w:rsidRPr="005D1C78" w:rsidRDefault="005D1C78" w:rsidP="005D1C78">
            <w:pPr>
              <w:rPr>
                <w:b/>
              </w:rPr>
            </w:pPr>
          </w:p>
        </w:tc>
        <w:tc>
          <w:tcPr>
            <w:tcW w:w="5161" w:type="dxa"/>
          </w:tcPr>
          <w:p w14:paraId="47C1A93C" w14:textId="4F972F59" w:rsidR="00045469" w:rsidRDefault="00045469" w:rsidP="005D1C78">
            <w:r w:rsidRPr="005D1C78">
              <w:rPr>
                <w:b/>
              </w:rPr>
              <w:t>Date</w:t>
            </w:r>
            <w:r w:rsidR="0032685C" w:rsidRPr="005D1C78">
              <w:rPr>
                <w:b/>
              </w:rPr>
              <w:t>:</w:t>
            </w:r>
            <w:r w:rsidR="007713FD">
              <w:rPr>
                <w:b/>
              </w:rPr>
              <w:t xml:space="preserve"> </w:t>
            </w:r>
            <w:r w:rsidR="00D93463">
              <w:rPr>
                <w:b/>
              </w:rPr>
              <w:t>J</w:t>
            </w:r>
            <w:r w:rsidR="007713FD">
              <w:rPr>
                <w:b/>
              </w:rPr>
              <w:t>u</w:t>
            </w:r>
            <w:r w:rsidR="00B63F4D">
              <w:rPr>
                <w:b/>
              </w:rPr>
              <w:t>ly</w:t>
            </w:r>
            <w:r w:rsidR="007713FD">
              <w:rPr>
                <w:b/>
              </w:rPr>
              <w:t xml:space="preserve"> </w:t>
            </w:r>
            <w:r w:rsidR="00C41CE0">
              <w:rPr>
                <w:b/>
              </w:rPr>
              <w:t>2015</w:t>
            </w:r>
          </w:p>
          <w:p w14:paraId="6B864EC4" w14:textId="77777777" w:rsidR="005D1C78" w:rsidRPr="005D1C78" w:rsidRDefault="005D1C78" w:rsidP="005D1C78">
            <w:pPr>
              <w:rPr>
                <w:b/>
              </w:rPr>
            </w:pPr>
          </w:p>
        </w:tc>
      </w:tr>
    </w:tbl>
    <w:p w14:paraId="082B9966" w14:textId="77777777" w:rsidR="000073F0" w:rsidRPr="005D1C78" w:rsidRDefault="000073F0" w:rsidP="005D1C78"/>
    <w:tbl>
      <w:tblPr>
        <w:tblStyle w:val="TableGrid"/>
        <w:tblW w:w="5000" w:type="pct"/>
        <w:tblLayout w:type="fixed"/>
        <w:tblLook w:val="04E0" w:firstRow="1" w:lastRow="1" w:firstColumn="1" w:lastColumn="0" w:noHBand="0" w:noVBand="1"/>
      </w:tblPr>
      <w:tblGrid>
        <w:gridCol w:w="847"/>
        <w:gridCol w:w="994"/>
        <w:gridCol w:w="994"/>
        <w:gridCol w:w="2058"/>
        <w:gridCol w:w="5052"/>
        <w:gridCol w:w="4929"/>
      </w:tblGrid>
      <w:tr w:rsidR="00312B25" w:rsidRPr="005D1C78" w14:paraId="5322B9D4" w14:textId="77777777" w:rsidTr="00312B25">
        <w:trPr>
          <w:cantSplit/>
          <w:tblHeader/>
        </w:trPr>
        <w:tc>
          <w:tcPr>
            <w:tcW w:w="847" w:type="dxa"/>
            <w:shd w:val="clear" w:color="auto" w:fill="DBE5F1" w:themeFill="accent1" w:themeFillTint="33"/>
          </w:tcPr>
          <w:p w14:paraId="0BA893DB" w14:textId="77777777" w:rsidR="00312B25" w:rsidRPr="002E6D23" w:rsidRDefault="00312B25" w:rsidP="005D1C78">
            <w:pPr>
              <w:ind w:right="0"/>
              <w:rPr>
                <w:b/>
              </w:rPr>
            </w:pPr>
            <w:r w:rsidRPr="002E6D23">
              <w:rPr>
                <w:b/>
                <w:bCs/>
              </w:rPr>
              <w:t>Task        #</w:t>
            </w:r>
          </w:p>
        </w:tc>
        <w:tc>
          <w:tcPr>
            <w:tcW w:w="994" w:type="dxa"/>
            <w:shd w:val="clear" w:color="auto" w:fill="DBE5F1" w:themeFill="accent1" w:themeFillTint="33"/>
          </w:tcPr>
          <w:p w14:paraId="5D3CFC11" w14:textId="77777777" w:rsidR="00312B25" w:rsidRPr="005D1C78" w:rsidRDefault="00312B25" w:rsidP="005D1C78">
            <w:pPr>
              <w:ind w:right="0"/>
              <w:rPr>
                <w:b/>
              </w:rPr>
            </w:pPr>
            <w:r w:rsidRPr="1E29057C">
              <w:rPr>
                <w:b/>
                <w:bCs/>
              </w:rPr>
              <w:t>Section  #</w:t>
            </w:r>
          </w:p>
        </w:tc>
        <w:tc>
          <w:tcPr>
            <w:tcW w:w="994" w:type="dxa"/>
            <w:shd w:val="clear" w:color="auto" w:fill="DBE5F1" w:themeFill="accent1" w:themeFillTint="33"/>
          </w:tcPr>
          <w:p w14:paraId="079F0B45" w14:textId="77777777" w:rsidR="00312B25" w:rsidRPr="005D1C78" w:rsidRDefault="00312B25" w:rsidP="005D1C78">
            <w:pPr>
              <w:ind w:right="0"/>
              <w:rPr>
                <w:b/>
              </w:rPr>
            </w:pPr>
            <w:r w:rsidRPr="1E29057C">
              <w:rPr>
                <w:b/>
                <w:bCs/>
              </w:rPr>
              <w:t>Page       #</w:t>
            </w:r>
          </w:p>
        </w:tc>
        <w:tc>
          <w:tcPr>
            <w:tcW w:w="2059" w:type="dxa"/>
            <w:shd w:val="clear" w:color="auto" w:fill="DBE5F1" w:themeFill="accent1" w:themeFillTint="33"/>
          </w:tcPr>
          <w:p w14:paraId="7B80098A" w14:textId="77777777" w:rsidR="00312B25" w:rsidRPr="005D1C78" w:rsidRDefault="00312B25" w:rsidP="005D1C78">
            <w:pPr>
              <w:rPr>
                <w:b/>
              </w:rPr>
            </w:pPr>
            <w:r w:rsidRPr="005D1C78">
              <w:rPr>
                <w:b/>
              </w:rPr>
              <w:t>Topic</w:t>
            </w:r>
          </w:p>
        </w:tc>
        <w:tc>
          <w:tcPr>
            <w:tcW w:w="5054" w:type="dxa"/>
            <w:shd w:val="clear" w:color="auto" w:fill="DBE5F1" w:themeFill="accent1" w:themeFillTint="33"/>
          </w:tcPr>
          <w:p w14:paraId="79FAEB2A" w14:textId="77777777" w:rsidR="00312B25" w:rsidRPr="005D1C78" w:rsidRDefault="00312B25" w:rsidP="005D1C78">
            <w:pPr>
              <w:rPr>
                <w:b/>
              </w:rPr>
            </w:pPr>
            <w:r w:rsidRPr="005D1C78">
              <w:rPr>
                <w:b/>
              </w:rPr>
              <w:t>Comment</w:t>
            </w:r>
          </w:p>
        </w:tc>
        <w:tc>
          <w:tcPr>
            <w:tcW w:w="4931" w:type="dxa"/>
            <w:shd w:val="clear" w:color="auto" w:fill="DBE5F1" w:themeFill="accent1" w:themeFillTint="33"/>
          </w:tcPr>
          <w:p w14:paraId="2A1CAA29" w14:textId="77777777" w:rsidR="00312B25" w:rsidRPr="005D1C78" w:rsidRDefault="00312B25" w:rsidP="005D1C78">
            <w:pPr>
              <w:rPr>
                <w:b/>
              </w:rPr>
            </w:pPr>
            <w:r w:rsidRPr="005D1C78">
              <w:rPr>
                <w:b/>
              </w:rPr>
              <w:t>Proposed change</w:t>
            </w:r>
          </w:p>
        </w:tc>
      </w:tr>
      <w:tr w:rsidR="00312B25" w:rsidRPr="00FD021D" w14:paraId="166D7231" w14:textId="77777777" w:rsidTr="00312B25">
        <w:tc>
          <w:tcPr>
            <w:tcW w:w="847" w:type="dxa"/>
          </w:tcPr>
          <w:p w14:paraId="7E83AF23" w14:textId="77777777" w:rsidR="00312B25" w:rsidRDefault="00312B25" w:rsidP="004A2CAC">
            <w:pPr>
              <w:ind w:right="0"/>
              <w:rPr>
                <w:i/>
                <w:color w:val="FF0000"/>
              </w:rPr>
            </w:pPr>
          </w:p>
          <w:p w14:paraId="763FE8FB" w14:textId="4DE3F5CB" w:rsidR="00312B25" w:rsidRPr="00724D94" w:rsidRDefault="00312B25" w:rsidP="004A2CAC">
            <w:pPr>
              <w:ind w:right="0"/>
              <w:rPr>
                <w:color w:val="FF0000"/>
              </w:rPr>
            </w:pPr>
            <w:r w:rsidRPr="00724D94">
              <w:rPr>
                <w:color w:val="000000" w:themeColor="text1"/>
              </w:rPr>
              <w:t>4</w:t>
            </w:r>
          </w:p>
        </w:tc>
        <w:tc>
          <w:tcPr>
            <w:tcW w:w="994" w:type="dxa"/>
          </w:tcPr>
          <w:p w14:paraId="1264FBB4" w14:textId="77777777" w:rsidR="00312B25" w:rsidRPr="001316DC" w:rsidRDefault="00312B25" w:rsidP="004A2CAC">
            <w:pPr>
              <w:ind w:right="0"/>
              <w:rPr>
                <w:i/>
                <w:color w:val="000000" w:themeColor="text1"/>
              </w:rPr>
            </w:pPr>
            <w:r w:rsidRPr="001316DC">
              <w:rPr>
                <w:i/>
                <w:color w:val="000000" w:themeColor="text1"/>
              </w:rPr>
              <w:t>Executive summary</w:t>
            </w:r>
          </w:p>
          <w:p w14:paraId="0CD9E5C4" w14:textId="235DE8F2" w:rsidR="00312B25" w:rsidRPr="001316DC" w:rsidRDefault="00312B25" w:rsidP="004A2CAC">
            <w:pPr>
              <w:ind w:right="0"/>
              <w:rPr>
                <w:i/>
                <w:color w:val="000000" w:themeColor="text1"/>
              </w:rPr>
            </w:pPr>
            <w:r w:rsidRPr="001316DC">
              <w:rPr>
                <w:i/>
                <w:color w:val="000000" w:themeColor="text1"/>
              </w:rPr>
              <w:lastRenderedPageBreak/>
              <w:t>2.10.4</w:t>
            </w:r>
          </w:p>
        </w:tc>
        <w:tc>
          <w:tcPr>
            <w:tcW w:w="994" w:type="dxa"/>
          </w:tcPr>
          <w:p w14:paraId="1E5037FE" w14:textId="64BE630E" w:rsidR="00312B25" w:rsidRPr="001316DC" w:rsidRDefault="00312B25" w:rsidP="00281689">
            <w:pPr>
              <w:ind w:right="0"/>
              <w:rPr>
                <w:i/>
                <w:color w:val="000000" w:themeColor="text1"/>
              </w:rPr>
            </w:pPr>
            <w:r w:rsidRPr="001316DC">
              <w:rPr>
                <w:i/>
                <w:color w:val="000000" w:themeColor="text1"/>
              </w:rPr>
              <w:lastRenderedPageBreak/>
              <w:t>13, 63,</w:t>
            </w:r>
          </w:p>
        </w:tc>
        <w:tc>
          <w:tcPr>
            <w:tcW w:w="2059" w:type="dxa"/>
          </w:tcPr>
          <w:p w14:paraId="0680D010" w14:textId="7D38312C" w:rsidR="00312B25" w:rsidRPr="001316DC" w:rsidRDefault="00312B25" w:rsidP="001316DC">
            <w:pPr>
              <w:ind w:right="0"/>
              <w:rPr>
                <w:rFonts w:eastAsia="Calibri"/>
                <w:i/>
                <w:color w:val="000000" w:themeColor="text1"/>
              </w:rPr>
            </w:pPr>
            <w:r w:rsidRPr="001316DC">
              <w:rPr>
                <w:rFonts w:eastAsia="Calibri"/>
                <w:i/>
                <w:color w:val="000000" w:themeColor="text1"/>
              </w:rPr>
              <w:t>LED retrofit lamp efficacy</w:t>
            </w:r>
          </w:p>
        </w:tc>
        <w:tc>
          <w:tcPr>
            <w:tcW w:w="5054" w:type="dxa"/>
          </w:tcPr>
          <w:p w14:paraId="2E8A0A59" w14:textId="5E6CE5F0" w:rsidR="00312B25" w:rsidRPr="001316DC" w:rsidRDefault="00312B25" w:rsidP="00D57FA5">
            <w:pPr>
              <w:ind w:right="0"/>
              <w:rPr>
                <w:rFonts w:eastAsia="Calibri"/>
                <w:i/>
                <w:color w:val="000000" w:themeColor="text1"/>
              </w:rPr>
            </w:pPr>
            <w:r w:rsidRPr="001316DC">
              <w:rPr>
                <w:rFonts w:eastAsia="Calibri"/>
                <w:i/>
                <w:color w:val="000000" w:themeColor="text1"/>
              </w:rPr>
              <w:t>A clear distinction should be made between professional and consumer applications:</w:t>
            </w:r>
          </w:p>
          <w:p w14:paraId="12BE1E34" w14:textId="77777777" w:rsidR="00312B25" w:rsidRPr="001316DC" w:rsidRDefault="00312B25" w:rsidP="00D57FA5">
            <w:pPr>
              <w:ind w:right="0"/>
              <w:rPr>
                <w:rFonts w:eastAsia="Calibri"/>
                <w:i/>
                <w:color w:val="000000" w:themeColor="text1"/>
              </w:rPr>
            </w:pPr>
          </w:p>
          <w:p w14:paraId="7D5389F9" w14:textId="78E65B49" w:rsidR="00312B25" w:rsidRPr="001316DC" w:rsidRDefault="00312B25" w:rsidP="00724D94">
            <w:pPr>
              <w:ind w:right="0"/>
              <w:rPr>
                <w:rFonts w:eastAsia="Calibri"/>
                <w:i/>
                <w:color w:val="000000" w:themeColor="text1"/>
              </w:rPr>
            </w:pPr>
            <w:r w:rsidRPr="001316DC">
              <w:rPr>
                <w:rFonts w:eastAsia="Calibri"/>
                <w:i/>
                <w:color w:val="000000" w:themeColor="text1"/>
              </w:rPr>
              <w:t>In 2016-20</w:t>
            </w:r>
            <w:r>
              <w:rPr>
                <w:rFonts w:eastAsia="Calibri"/>
                <w:i/>
                <w:color w:val="000000" w:themeColor="text1"/>
              </w:rPr>
              <w:t>2</w:t>
            </w:r>
            <w:r w:rsidRPr="001316DC">
              <w:rPr>
                <w:rFonts w:eastAsia="Calibri"/>
                <w:i/>
                <w:color w:val="000000" w:themeColor="text1"/>
              </w:rPr>
              <w:t>0, there will be a mass-ad</w:t>
            </w:r>
            <w:r>
              <w:rPr>
                <w:rFonts w:eastAsia="Calibri"/>
                <w:i/>
                <w:color w:val="000000" w:themeColor="text1"/>
              </w:rPr>
              <w:t xml:space="preserve">option of LED lamps in </w:t>
            </w:r>
            <w:proofErr w:type="spellStart"/>
            <w:r>
              <w:rPr>
                <w:rFonts w:eastAsia="Calibri"/>
                <w:i/>
                <w:color w:val="000000" w:themeColor="text1"/>
              </w:rPr>
              <w:t>househols</w:t>
            </w:r>
            <w:proofErr w:type="spellEnd"/>
            <w:r w:rsidRPr="001316DC">
              <w:rPr>
                <w:rFonts w:eastAsia="Calibri"/>
                <w:i/>
                <w:color w:val="000000" w:themeColor="text1"/>
              </w:rPr>
              <w:t>.</w:t>
            </w:r>
          </w:p>
          <w:p w14:paraId="4532791D" w14:textId="3D10394F" w:rsidR="00312B25" w:rsidRPr="001316DC" w:rsidRDefault="00312B25" w:rsidP="00724D94">
            <w:pPr>
              <w:ind w:right="0"/>
              <w:rPr>
                <w:rFonts w:eastAsia="Calibri"/>
                <w:i/>
                <w:color w:val="000000" w:themeColor="text1"/>
              </w:rPr>
            </w:pPr>
            <w:r w:rsidRPr="001316DC">
              <w:rPr>
                <w:rFonts w:eastAsia="Calibri"/>
                <w:i/>
                <w:color w:val="000000" w:themeColor="text1"/>
              </w:rPr>
              <w:t>Lifetime of LED lamps is currently rated between 15-20Khrs. At a usage of 1000 hrs/year, these lamps will last for 15-20 years. After the peak introduction/conversion period, overall volume/needs on a yearly base will drop drastically</w:t>
            </w:r>
            <w:proofErr w:type="gramStart"/>
            <w:r w:rsidRPr="001316DC">
              <w:rPr>
                <w:rFonts w:eastAsia="Calibri"/>
                <w:i/>
                <w:color w:val="000000" w:themeColor="text1"/>
              </w:rPr>
              <w:t>,.</w:t>
            </w:r>
            <w:proofErr w:type="gramEnd"/>
          </w:p>
          <w:p w14:paraId="7F62AA21" w14:textId="77777777" w:rsidR="00312B25" w:rsidRPr="001316DC" w:rsidRDefault="00312B25" w:rsidP="00724D94">
            <w:pPr>
              <w:ind w:right="0"/>
              <w:rPr>
                <w:rFonts w:eastAsia="Calibri"/>
                <w:i/>
                <w:color w:val="000000" w:themeColor="text1"/>
              </w:rPr>
            </w:pPr>
            <w:r w:rsidRPr="001316DC">
              <w:rPr>
                <w:rFonts w:eastAsia="Calibri"/>
                <w:i/>
                <w:color w:val="000000" w:themeColor="text1"/>
              </w:rPr>
              <w:t>By that time one will see a move towards smarter lamps with added features:</w:t>
            </w:r>
          </w:p>
          <w:p w14:paraId="4C958C83" w14:textId="4EA5396B" w:rsidR="00312B25" w:rsidRPr="001316DC" w:rsidRDefault="00312B25" w:rsidP="001316DC">
            <w:pPr>
              <w:ind w:right="0"/>
              <w:rPr>
                <w:rFonts w:eastAsia="Calibri"/>
                <w:i/>
                <w:color w:val="000000" w:themeColor="text1"/>
              </w:rPr>
            </w:pPr>
            <w:r w:rsidRPr="001316DC">
              <w:rPr>
                <w:rFonts w:eastAsia="Calibri"/>
                <w:i/>
                <w:color w:val="000000" w:themeColor="text1"/>
              </w:rPr>
              <w:t>Differentiation and drive for new replacement.</w:t>
            </w:r>
          </w:p>
          <w:p w14:paraId="33989B75" w14:textId="4C2EC63B" w:rsidR="00312B25" w:rsidRPr="001316DC" w:rsidRDefault="00312B25" w:rsidP="001316DC">
            <w:pPr>
              <w:ind w:right="0"/>
              <w:rPr>
                <w:rFonts w:eastAsia="Calibri"/>
                <w:i/>
                <w:color w:val="000000" w:themeColor="text1"/>
              </w:rPr>
            </w:pPr>
            <w:r w:rsidRPr="001316DC">
              <w:rPr>
                <w:rFonts w:eastAsia="Calibri"/>
                <w:i/>
                <w:color w:val="000000" w:themeColor="text1"/>
              </w:rPr>
              <w:t>Improvement in driver and optical efficiency will  be limited due to these new features</w:t>
            </w:r>
          </w:p>
          <w:p w14:paraId="131544DF" w14:textId="59F122D5" w:rsidR="00312B25" w:rsidRPr="001316DC" w:rsidRDefault="00312B25" w:rsidP="001316DC">
            <w:pPr>
              <w:ind w:right="0"/>
              <w:rPr>
                <w:rFonts w:eastAsia="Calibri"/>
                <w:i/>
                <w:color w:val="000000" w:themeColor="text1"/>
              </w:rPr>
            </w:pPr>
            <w:r w:rsidRPr="001316DC">
              <w:rPr>
                <w:rFonts w:eastAsia="Calibri"/>
                <w:i/>
                <w:color w:val="000000" w:themeColor="text1"/>
              </w:rPr>
              <w:t>Consumer less interested in saving an additional 1-2 watts per lamp</w:t>
            </w:r>
          </w:p>
          <w:p w14:paraId="69E16D57" w14:textId="77777777" w:rsidR="00312B25" w:rsidRPr="001316DC" w:rsidRDefault="00312B25" w:rsidP="00A64D6C">
            <w:pPr>
              <w:ind w:right="0"/>
              <w:rPr>
                <w:rFonts w:eastAsia="Calibri"/>
                <w:i/>
                <w:color w:val="000000" w:themeColor="text1"/>
              </w:rPr>
            </w:pPr>
          </w:p>
          <w:p w14:paraId="25B9AD8C" w14:textId="1C9B40DC" w:rsidR="00312B25" w:rsidRPr="001316DC" w:rsidRDefault="00312B25" w:rsidP="00A64D6C">
            <w:pPr>
              <w:ind w:right="0"/>
              <w:rPr>
                <w:rFonts w:eastAsia="Calibri"/>
                <w:i/>
                <w:color w:val="000000" w:themeColor="text1"/>
              </w:rPr>
            </w:pPr>
            <w:r w:rsidRPr="001316DC">
              <w:rPr>
                <w:rFonts w:eastAsia="Calibri"/>
                <w:i/>
                <w:color w:val="000000" w:themeColor="text1"/>
              </w:rPr>
              <w:t>DOE projected LED improvement roadma</w:t>
            </w:r>
            <w:r>
              <w:rPr>
                <w:rFonts w:eastAsia="Calibri"/>
                <w:i/>
                <w:color w:val="000000" w:themeColor="text1"/>
              </w:rPr>
              <w:t>p</w:t>
            </w:r>
            <w:r w:rsidRPr="001316DC">
              <w:rPr>
                <w:rFonts w:eastAsia="Calibri"/>
                <w:i/>
                <w:color w:val="000000" w:themeColor="text1"/>
              </w:rPr>
              <w:t>, as best in class</w:t>
            </w:r>
            <w:r>
              <w:rPr>
                <w:rFonts w:eastAsia="Calibri"/>
                <w:i/>
                <w:color w:val="000000" w:themeColor="text1"/>
              </w:rPr>
              <w:t>,</w:t>
            </w:r>
            <w:r w:rsidRPr="001316DC">
              <w:rPr>
                <w:rFonts w:eastAsia="Calibri"/>
                <w:i/>
                <w:color w:val="000000" w:themeColor="text1"/>
              </w:rPr>
              <w:t xml:space="preserve"> aims at achieving 247 lm/W ultimately and at best 230 lm</w:t>
            </w:r>
            <w:r>
              <w:rPr>
                <w:rFonts w:eastAsia="Calibri"/>
                <w:i/>
                <w:color w:val="000000" w:themeColor="text1"/>
              </w:rPr>
              <w:t>/</w:t>
            </w:r>
            <w:r w:rsidRPr="001316DC">
              <w:rPr>
                <w:rFonts w:eastAsia="Calibri"/>
                <w:i/>
                <w:color w:val="000000" w:themeColor="text1"/>
              </w:rPr>
              <w:t>W in 2020. These assumptions are made based on</w:t>
            </w:r>
            <w:r>
              <w:rPr>
                <w:rFonts w:eastAsia="Calibri"/>
                <w:i/>
                <w:color w:val="000000" w:themeColor="text1"/>
              </w:rPr>
              <w:t xml:space="preserve"> </w:t>
            </w:r>
            <w:r w:rsidRPr="001316DC">
              <w:rPr>
                <w:rFonts w:eastAsia="Calibri"/>
                <w:i/>
                <w:color w:val="000000" w:themeColor="text1"/>
              </w:rPr>
              <w:t>numerous improvements/innovation – still to happen – and will certainly come at high cost.</w:t>
            </w:r>
          </w:p>
          <w:p w14:paraId="434876AF" w14:textId="230A9C81" w:rsidR="00312B25" w:rsidRPr="001316DC" w:rsidRDefault="00312B25" w:rsidP="00A64D6C">
            <w:pPr>
              <w:ind w:right="0"/>
              <w:rPr>
                <w:rFonts w:eastAsia="Calibri"/>
                <w:i/>
                <w:color w:val="000000" w:themeColor="text1"/>
              </w:rPr>
            </w:pPr>
            <w:r w:rsidRPr="001316DC">
              <w:rPr>
                <w:rFonts w:eastAsia="Calibri"/>
                <w:i/>
                <w:color w:val="000000" w:themeColor="text1"/>
              </w:rPr>
              <w:t>DOE numbers are reaching the physical limits. Industry might not focus on 95% quantum effici</w:t>
            </w:r>
            <w:r>
              <w:rPr>
                <w:rFonts w:eastAsia="Calibri"/>
                <w:i/>
                <w:color w:val="000000" w:themeColor="text1"/>
              </w:rPr>
              <w:t>ency</w:t>
            </w:r>
            <w:r w:rsidRPr="001316DC">
              <w:rPr>
                <w:rFonts w:eastAsia="Calibri"/>
                <w:i/>
                <w:color w:val="000000" w:themeColor="text1"/>
              </w:rPr>
              <w:t>, but on further cost down by reducing the complexity of epit</w:t>
            </w:r>
            <w:r>
              <w:rPr>
                <w:rFonts w:eastAsia="Calibri"/>
                <w:i/>
                <w:color w:val="000000" w:themeColor="text1"/>
              </w:rPr>
              <w:t>a</w:t>
            </w:r>
            <w:r w:rsidRPr="001316DC">
              <w:rPr>
                <w:rFonts w:eastAsia="Calibri"/>
                <w:i/>
                <w:color w:val="000000" w:themeColor="text1"/>
              </w:rPr>
              <w:t>xial layer and chip design</w:t>
            </w:r>
          </w:p>
          <w:p w14:paraId="5DBBA0F6" w14:textId="77777777"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DOE show breakdown of LED efficiency, ambitious numbers, especially extraction efficiency of chip (90%, for most chip architectures expects max 86%) and package efficiency (99%, for low cost package architectures expects max 96%, in practice 92%).</w:t>
            </w:r>
          </w:p>
          <w:p w14:paraId="021ADFC1" w14:textId="77777777"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Yellow phosphor quantum efficiency is approaching 98%, most gain is expected in use of so-called narrow band red phosphor (reduced waist of energy in long wavelength tail with limited eye sensitivity) and on the longer term quantum dot phosphors.</w:t>
            </w:r>
          </w:p>
          <w:p w14:paraId="5C068F2E" w14:textId="77777777"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 xml:space="preserve">Performance at </w:t>
            </w:r>
            <w:proofErr w:type="spellStart"/>
            <w:r w:rsidRPr="001316DC">
              <w:rPr>
                <w:rFonts w:eastAsia="Calibri"/>
                <w:i/>
                <w:color w:val="000000" w:themeColor="text1"/>
                <w:lang w:val="en-US"/>
              </w:rPr>
              <w:t>Tj</w:t>
            </w:r>
            <w:proofErr w:type="spellEnd"/>
            <w:r w:rsidRPr="001316DC">
              <w:rPr>
                <w:rFonts w:eastAsia="Calibri"/>
                <w:i/>
                <w:color w:val="000000" w:themeColor="text1"/>
                <w:lang w:val="en-US"/>
              </w:rPr>
              <w:t xml:space="preserve"> = 25C (junction temperature of the LED). In </w:t>
            </w:r>
            <w:r w:rsidRPr="001316DC">
              <w:rPr>
                <w:rFonts w:eastAsia="Calibri"/>
                <w:i/>
                <w:color w:val="000000" w:themeColor="text1"/>
                <w:lang w:val="en-US"/>
              </w:rPr>
              <w:lastRenderedPageBreak/>
              <w:t xml:space="preserve">practice LEDs are used in consumer applications at hot conditions, </w:t>
            </w:r>
            <w:proofErr w:type="spellStart"/>
            <w:r w:rsidRPr="001316DC">
              <w:rPr>
                <w:rFonts w:eastAsia="Calibri"/>
                <w:i/>
                <w:color w:val="000000" w:themeColor="text1"/>
                <w:lang w:val="en-US"/>
              </w:rPr>
              <w:t>Tj</w:t>
            </w:r>
            <w:proofErr w:type="spellEnd"/>
            <w:r w:rsidRPr="001316DC">
              <w:rPr>
                <w:rFonts w:eastAsia="Calibri"/>
                <w:i/>
                <w:color w:val="000000" w:themeColor="text1"/>
                <w:lang w:val="en-US"/>
              </w:rPr>
              <w:t>=115C will move to 130C in coming years (saving heatsink costs). Penalty 12-16% in Lm/W.</w:t>
            </w:r>
          </w:p>
          <w:p w14:paraId="045B73B5" w14:textId="646AFA7C"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General considerations on system level:</w:t>
            </w:r>
          </w:p>
          <w:p w14:paraId="22B0E200" w14:textId="43ECCC3B"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Thermal: hot / cold factor: 22% (2015) to 25% (2030)</w:t>
            </w:r>
          </w:p>
          <w:p w14:paraId="76DAD86A" w14:textId="40849851"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bigger los</w:t>
            </w:r>
            <w:r>
              <w:rPr>
                <w:rFonts w:eastAsia="Calibri"/>
                <w:i/>
                <w:color w:val="000000" w:themeColor="text1"/>
                <w:lang w:val="en-US"/>
              </w:rPr>
              <w:t>s</w:t>
            </w:r>
            <w:r w:rsidRPr="001316DC">
              <w:rPr>
                <w:rFonts w:eastAsia="Calibri"/>
                <w:i/>
                <w:color w:val="000000" w:themeColor="text1"/>
                <w:lang w:val="en-US"/>
              </w:rPr>
              <w:t>es due to further over-drive of improved LEDs  (for some lumen decay during life)</w:t>
            </w:r>
          </w:p>
          <w:p w14:paraId="458157B3" w14:textId="07A3F2A3"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Driver efficacy:15% (2015) to 10% (2030)</w:t>
            </w:r>
          </w:p>
          <w:p w14:paraId="0E0E4C97" w14:textId="77777777"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best case scenario for driver incorporated in lamp</w:t>
            </w:r>
          </w:p>
          <w:p w14:paraId="559CF92C" w14:textId="77777777" w:rsidR="00312B25" w:rsidRPr="001316DC" w:rsidRDefault="00312B25" w:rsidP="00A64D6C">
            <w:pPr>
              <w:ind w:right="0"/>
              <w:rPr>
                <w:rFonts w:eastAsia="Calibri"/>
                <w:i/>
                <w:color w:val="000000" w:themeColor="text1"/>
                <w:lang w:val="en-US"/>
              </w:rPr>
            </w:pPr>
            <w:proofErr w:type="gramStart"/>
            <w:r w:rsidRPr="001316DC">
              <w:rPr>
                <w:rFonts w:eastAsia="Calibri"/>
                <w:i/>
                <w:color w:val="000000" w:themeColor="text1"/>
                <w:lang w:val="en-US"/>
              </w:rPr>
              <w:t>most</w:t>
            </w:r>
            <w:proofErr w:type="gramEnd"/>
            <w:r w:rsidRPr="001316DC">
              <w:rPr>
                <w:rFonts w:eastAsia="Calibri"/>
                <w:i/>
                <w:color w:val="000000" w:themeColor="text1"/>
                <w:lang w:val="en-US"/>
              </w:rPr>
              <w:t xml:space="preserve"> likely will not improve due to added features (smarter, connected, etc.)</w:t>
            </w:r>
          </w:p>
          <w:p w14:paraId="385BCFB6" w14:textId="1863C948"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Optical efficacy:10% (2015) to 5% (2030)</w:t>
            </w:r>
          </w:p>
          <w:p w14:paraId="353C4D31" w14:textId="77777777"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assumption clear bulbs</w:t>
            </w:r>
          </w:p>
          <w:p w14:paraId="656A13A3" w14:textId="77777777"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most likely will not improve due to added features for ambiance creation</w:t>
            </w:r>
          </w:p>
          <w:p w14:paraId="31802EF4" w14:textId="77777777"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From LED to Lamp, system correction factor</w:t>
            </w:r>
          </w:p>
          <w:p w14:paraId="1D961F35" w14:textId="77777777"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61% (2015) to 64% (2030)</w:t>
            </w:r>
          </w:p>
          <w:p w14:paraId="2338028E" w14:textId="77777777"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Note: VHK/VITO assumptions on (no) losses by 2030 are unlikely!</w:t>
            </w:r>
          </w:p>
          <w:p w14:paraId="4372943D" w14:textId="3394EFE3" w:rsidR="00312B25" w:rsidRPr="001316DC" w:rsidRDefault="00312B25" w:rsidP="00A64D6C">
            <w:pPr>
              <w:ind w:right="0"/>
              <w:rPr>
                <w:rFonts w:eastAsia="Calibri"/>
                <w:i/>
                <w:color w:val="000000" w:themeColor="text1"/>
                <w:lang w:val="en-US"/>
              </w:rPr>
            </w:pPr>
            <w:r w:rsidRPr="001316DC">
              <w:rPr>
                <w:rFonts w:eastAsia="Calibri"/>
                <w:i/>
                <w:color w:val="000000" w:themeColor="text1"/>
                <w:lang w:val="en-US"/>
              </w:rPr>
              <w:t xml:space="preserve"> </w:t>
            </w:r>
          </w:p>
          <w:p w14:paraId="1B909202" w14:textId="77777777" w:rsidR="00312B25" w:rsidRPr="001316DC" w:rsidRDefault="00312B25" w:rsidP="00A64D6C">
            <w:pPr>
              <w:ind w:right="0"/>
              <w:rPr>
                <w:rFonts w:eastAsia="Calibri"/>
                <w:i/>
                <w:color w:val="000000" w:themeColor="text1"/>
              </w:rPr>
            </w:pPr>
          </w:p>
          <w:p w14:paraId="10879E5F" w14:textId="071EAA43" w:rsidR="00312B25" w:rsidRPr="001316DC" w:rsidRDefault="00312B25" w:rsidP="00D57FA5">
            <w:pPr>
              <w:ind w:right="0"/>
              <w:rPr>
                <w:rFonts w:eastAsia="Calibri"/>
                <w:i/>
                <w:color w:val="000000" w:themeColor="text1"/>
              </w:rPr>
            </w:pPr>
          </w:p>
        </w:tc>
        <w:tc>
          <w:tcPr>
            <w:tcW w:w="4931" w:type="dxa"/>
          </w:tcPr>
          <w:p w14:paraId="379460CC" w14:textId="6110AC1B" w:rsidR="00312B25" w:rsidRPr="001316DC" w:rsidRDefault="00312B25" w:rsidP="00A64D6C">
            <w:pPr>
              <w:ind w:right="0"/>
              <w:rPr>
                <w:rFonts w:eastAsia="Calibri"/>
                <w:i/>
                <w:color w:val="000000" w:themeColor="text1"/>
              </w:rPr>
            </w:pPr>
            <w:r w:rsidRPr="001316DC">
              <w:rPr>
                <w:rFonts w:eastAsia="Calibri"/>
                <w:i/>
                <w:color w:val="000000" w:themeColor="text1"/>
              </w:rPr>
              <w:lastRenderedPageBreak/>
              <w:t xml:space="preserve">A clear distinction should be made between professional and consumer applications. Following </w:t>
            </w:r>
            <w:proofErr w:type="spellStart"/>
            <w:r w:rsidRPr="001316DC">
              <w:rPr>
                <w:rFonts w:eastAsia="Calibri"/>
                <w:i/>
                <w:color w:val="000000" w:themeColor="text1"/>
              </w:rPr>
              <w:t>predictons</w:t>
            </w:r>
            <w:proofErr w:type="spellEnd"/>
            <w:r w:rsidRPr="001316DC">
              <w:rPr>
                <w:rFonts w:eastAsia="Calibri"/>
                <w:i/>
                <w:color w:val="000000" w:themeColor="text1"/>
              </w:rPr>
              <w:t xml:space="preserve"> should be </w:t>
            </w:r>
            <w:r w:rsidRPr="001316DC">
              <w:rPr>
                <w:rFonts w:eastAsia="Calibri"/>
                <w:i/>
                <w:color w:val="000000" w:themeColor="text1"/>
              </w:rPr>
              <w:lastRenderedPageBreak/>
              <w:t>used:</w:t>
            </w:r>
          </w:p>
          <w:p w14:paraId="0623E4CD" w14:textId="77777777" w:rsidR="00312B25" w:rsidRPr="001316DC" w:rsidRDefault="00312B25" w:rsidP="00A64D6C">
            <w:pPr>
              <w:ind w:right="0"/>
              <w:rPr>
                <w:rFonts w:eastAsia="Calibri"/>
                <w:i/>
                <w:color w:val="000000" w:themeColor="text1"/>
              </w:rPr>
            </w:pPr>
          </w:p>
          <w:p w14:paraId="71E8B318" w14:textId="73CF9844" w:rsidR="00312B25" w:rsidRPr="001316DC" w:rsidRDefault="00312B25" w:rsidP="00A64D6C">
            <w:pPr>
              <w:ind w:right="0"/>
              <w:rPr>
                <w:rFonts w:eastAsia="Calibri"/>
                <w:i/>
                <w:color w:val="000000" w:themeColor="text1"/>
              </w:rPr>
            </w:pPr>
          </w:p>
          <w:p w14:paraId="3935C697" w14:textId="22B36413" w:rsidR="00312B25" w:rsidRPr="001316DC" w:rsidRDefault="00312B25" w:rsidP="00A64D6C">
            <w:pPr>
              <w:ind w:right="0"/>
              <w:rPr>
                <w:rFonts w:eastAsia="Calibri"/>
                <w:i/>
                <w:color w:val="000000" w:themeColor="text1"/>
              </w:rPr>
            </w:pPr>
          </w:p>
          <w:p w14:paraId="72A05701" w14:textId="71ED1EF5" w:rsidR="00312B25" w:rsidRPr="001316DC" w:rsidRDefault="00312B25" w:rsidP="00090DB6">
            <w:pPr>
              <w:ind w:right="0"/>
              <w:rPr>
                <w:rFonts w:eastAsia="Calibri"/>
                <w:i/>
                <w:color w:val="000000" w:themeColor="text1"/>
              </w:rPr>
            </w:pPr>
            <w:r w:rsidRPr="001316DC">
              <w:rPr>
                <w:i/>
                <w:noProof/>
                <w:color w:val="000000" w:themeColor="text1"/>
                <w:lang w:eastAsia="en-GB"/>
              </w:rPr>
              <w:drawing>
                <wp:inline distT="0" distB="0" distL="0" distR="0" wp14:anchorId="30C99A49" wp14:editId="4130B0F8">
                  <wp:extent cx="2092314" cy="1046074"/>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093" cy="1051463"/>
                          </a:xfrm>
                          <a:prstGeom prst="rect">
                            <a:avLst/>
                          </a:prstGeom>
                          <a:noFill/>
                        </pic:spPr>
                      </pic:pic>
                    </a:graphicData>
                  </a:graphic>
                </wp:inline>
              </w:drawing>
            </w:r>
          </w:p>
          <w:p w14:paraId="497F9333" w14:textId="77777777" w:rsidR="00312B25" w:rsidRPr="001316DC" w:rsidRDefault="00312B25" w:rsidP="00090DB6">
            <w:pPr>
              <w:ind w:right="0"/>
              <w:rPr>
                <w:rFonts w:eastAsia="Calibri"/>
                <w:i/>
                <w:noProof/>
                <w:color w:val="000000" w:themeColor="text1"/>
                <w:lang w:val="en-US"/>
              </w:rPr>
            </w:pPr>
          </w:p>
          <w:p w14:paraId="2D1F4A86" w14:textId="130D4CE9" w:rsidR="00312B25" w:rsidRPr="001316DC" w:rsidRDefault="00312B25" w:rsidP="00090DB6">
            <w:pPr>
              <w:ind w:right="0"/>
              <w:rPr>
                <w:rFonts w:eastAsia="Calibri"/>
                <w:i/>
                <w:color w:val="000000" w:themeColor="text1"/>
              </w:rPr>
            </w:pPr>
            <w:r w:rsidRPr="001316DC">
              <w:rPr>
                <w:rFonts w:eastAsia="Calibri"/>
                <w:i/>
                <w:noProof/>
                <w:color w:val="000000" w:themeColor="text1"/>
                <w:lang w:eastAsia="en-GB"/>
              </w:rPr>
              <w:drawing>
                <wp:inline distT="0" distB="0" distL="0" distR="0" wp14:anchorId="723CB769" wp14:editId="2D08107C">
                  <wp:extent cx="2151304" cy="107556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032" cy="1075930"/>
                          </a:xfrm>
                          <a:prstGeom prst="rect">
                            <a:avLst/>
                          </a:prstGeom>
                          <a:noFill/>
                        </pic:spPr>
                      </pic:pic>
                    </a:graphicData>
                  </a:graphic>
                </wp:inline>
              </w:drawing>
            </w:r>
          </w:p>
        </w:tc>
      </w:tr>
    </w:tbl>
    <w:p w14:paraId="71E145AD" w14:textId="0EABE41A" w:rsidR="001316DC" w:rsidRDefault="001316DC" w:rsidP="005D1C78"/>
    <w:p w14:paraId="735A81D3" w14:textId="4C73BF85" w:rsidR="001316DC" w:rsidRDefault="001316DC">
      <w:pPr>
        <w:spacing w:after="200"/>
        <w:ind w:right="0"/>
      </w:pPr>
    </w:p>
    <w:p w14:paraId="137086F2" w14:textId="77777777" w:rsidR="001316DC" w:rsidRDefault="001316DC" w:rsidP="005D1C78">
      <w:pPr>
        <w:rPr>
          <w:noProof/>
          <w:lang w:val="en-US"/>
        </w:rPr>
      </w:pPr>
    </w:p>
    <w:p w14:paraId="5EF5AD68" w14:textId="77777777" w:rsidR="001316DC" w:rsidRDefault="001316DC" w:rsidP="005D1C78">
      <w:pPr>
        <w:rPr>
          <w:noProof/>
          <w:lang w:val="en-US"/>
        </w:rPr>
      </w:pPr>
    </w:p>
    <w:p w14:paraId="1F6FB787" w14:textId="77777777" w:rsidR="001316DC" w:rsidRDefault="001316DC" w:rsidP="005D1C78">
      <w:pPr>
        <w:rPr>
          <w:noProof/>
          <w:lang w:val="en-US"/>
        </w:rPr>
      </w:pPr>
    </w:p>
    <w:p w14:paraId="215AD771" w14:textId="77777777" w:rsidR="00701F8D" w:rsidRDefault="001316DC" w:rsidP="005D1C78">
      <w:pPr>
        <w:rPr>
          <w:noProof/>
          <w:lang w:val="en-US"/>
        </w:rPr>
      </w:pPr>
      <w:r>
        <w:rPr>
          <w:noProof/>
          <w:lang w:eastAsia="en-GB"/>
        </w:rPr>
        <w:lastRenderedPageBreak/>
        <w:drawing>
          <wp:inline distT="0" distB="0" distL="0" distR="0" wp14:anchorId="4A0B6808" wp14:editId="32A2D0A0">
            <wp:extent cx="7962265" cy="398081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2265" cy="3980815"/>
                    </a:xfrm>
                    <a:prstGeom prst="rect">
                      <a:avLst/>
                    </a:prstGeom>
                    <a:noFill/>
                  </pic:spPr>
                </pic:pic>
              </a:graphicData>
            </a:graphic>
          </wp:inline>
        </w:drawing>
      </w:r>
    </w:p>
    <w:p w14:paraId="08546F4F" w14:textId="77777777" w:rsidR="00701F8D" w:rsidRDefault="00701F8D" w:rsidP="005D1C78">
      <w:pPr>
        <w:rPr>
          <w:noProof/>
          <w:lang w:val="en-US"/>
        </w:rPr>
      </w:pPr>
    </w:p>
    <w:p w14:paraId="1BE06A0C" w14:textId="3507D3C8" w:rsidR="001316DC" w:rsidRDefault="001316DC" w:rsidP="005D1C78">
      <w:pPr>
        <w:rPr>
          <w:noProof/>
          <w:lang w:val="en-US"/>
        </w:rPr>
      </w:pPr>
      <w:r>
        <w:rPr>
          <w:noProof/>
          <w:lang w:eastAsia="en-GB"/>
        </w:rPr>
        <w:lastRenderedPageBreak/>
        <w:drawing>
          <wp:inline distT="0" distB="0" distL="0" distR="0" wp14:anchorId="72746043" wp14:editId="44C2F1A3">
            <wp:extent cx="7962265" cy="398081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2265" cy="3980815"/>
                    </a:xfrm>
                    <a:prstGeom prst="rect">
                      <a:avLst/>
                    </a:prstGeom>
                    <a:noFill/>
                  </pic:spPr>
                </pic:pic>
              </a:graphicData>
            </a:graphic>
          </wp:inline>
        </w:drawing>
      </w:r>
    </w:p>
    <w:p w14:paraId="0B510416" w14:textId="77777777" w:rsidR="001316DC" w:rsidRDefault="001316DC" w:rsidP="005D1C78">
      <w:pPr>
        <w:rPr>
          <w:noProof/>
          <w:lang w:val="en-US"/>
        </w:rPr>
      </w:pPr>
    </w:p>
    <w:p w14:paraId="3E167C89" w14:textId="77777777" w:rsidR="001316DC" w:rsidRDefault="001316DC" w:rsidP="005D1C78">
      <w:pPr>
        <w:rPr>
          <w:noProof/>
          <w:lang w:val="en-US"/>
        </w:rPr>
      </w:pPr>
    </w:p>
    <w:p w14:paraId="7FB4649D" w14:textId="77777777" w:rsidR="001316DC" w:rsidRDefault="001316DC" w:rsidP="005D1C78">
      <w:pPr>
        <w:rPr>
          <w:noProof/>
          <w:lang w:val="en-US"/>
        </w:rPr>
      </w:pPr>
    </w:p>
    <w:p w14:paraId="4684DADD" w14:textId="77777777" w:rsidR="001316DC" w:rsidRDefault="001316DC" w:rsidP="005D1C78">
      <w:pPr>
        <w:rPr>
          <w:noProof/>
          <w:lang w:val="en-US"/>
        </w:rPr>
      </w:pPr>
    </w:p>
    <w:p w14:paraId="71CD257A" w14:textId="77777777" w:rsidR="001316DC" w:rsidRDefault="001316DC" w:rsidP="005D1C78">
      <w:pPr>
        <w:rPr>
          <w:noProof/>
          <w:lang w:val="en-US"/>
        </w:rPr>
      </w:pPr>
    </w:p>
    <w:p w14:paraId="50DE94CE" w14:textId="793BCA71" w:rsidR="00C17069" w:rsidRDefault="00C17069">
      <w:pPr>
        <w:spacing w:after="200"/>
        <w:ind w:right="0"/>
      </w:pPr>
    </w:p>
    <w:p w14:paraId="53586422" w14:textId="77777777" w:rsidR="00C17069" w:rsidRPr="005D1C78" w:rsidRDefault="00C17069" w:rsidP="00C17069">
      <w:pPr>
        <w:pStyle w:val="Heading1"/>
        <w:spacing w:before="0"/>
        <w:jc w:val="center"/>
        <w:rPr>
          <w:rFonts w:ascii="Calibri" w:hAnsi="Calibri" w:cs="Calibri"/>
          <w:color w:val="4F81BD" w:themeColor="accent1"/>
          <w:sz w:val="44"/>
        </w:rPr>
      </w:pPr>
    </w:p>
    <w:p w14:paraId="01064E23" w14:textId="77777777" w:rsidR="00C17069" w:rsidRPr="005D1C78" w:rsidRDefault="00C17069" w:rsidP="00C17069"/>
    <w:p w14:paraId="622034A0" w14:textId="77777777" w:rsidR="00C17069" w:rsidRPr="005D1C78" w:rsidRDefault="00C17069" w:rsidP="00C17069">
      <w:bookmarkStart w:id="0" w:name="_GoBack"/>
      <w:bookmarkEnd w:id="0"/>
    </w:p>
    <w:tbl>
      <w:tblPr>
        <w:tblStyle w:val="TableGrid"/>
        <w:tblW w:w="5000" w:type="pct"/>
        <w:tblLayout w:type="fixed"/>
        <w:tblLook w:val="04E0" w:firstRow="1" w:lastRow="1" w:firstColumn="1" w:lastColumn="0" w:noHBand="0" w:noVBand="1"/>
      </w:tblPr>
      <w:tblGrid>
        <w:gridCol w:w="846"/>
        <w:gridCol w:w="992"/>
        <w:gridCol w:w="992"/>
        <w:gridCol w:w="2059"/>
        <w:gridCol w:w="3328"/>
        <w:gridCol w:w="3328"/>
        <w:gridCol w:w="3329"/>
      </w:tblGrid>
      <w:tr w:rsidR="00C17069" w:rsidRPr="005D1C78" w14:paraId="253C5E2A" w14:textId="77777777" w:rsidTr="00B811E3">
        <w:trPr>
          <w:cantSplit/>
          <w:tblHeader/>
        </w:trPr>
        <w:tc>
          <w:tcPr>
            <w:tcW w:w="846" w:type="dxa"/>
            <w:shd w:val="clear" w:color="auto" w:fill="DBE5F1" w:themeFill="accent1" w:themeFillTint="33"/>
          </w:tcPr>
          <w:p w14:paraId="088FCBD3" w14:textId="77777777" w:rsidR="00C17069" w:rsidRPr="002E6D23" w:rsidRDefault="00C17069" w:rsidP="00B811E3">
            <w:pPr>
              <w:ind w:right="0"/>
              <w:rPr>
                <w:b/>
              </w:rPr>
            </w:pPr>
            <w:r w:rsidRPr="002E6D23">
              <w:rPr>
                <w:b/>
                <w:bCs/>
              </w:rPr>
              <w:t>Task        #</w:t>
            </w:r>
          </w:p>
        </w:tc>
        <w:tc>
          <w:tcPr>
            <w:tcW w:w="992" w:type="dxa"/>
            <w:shd w:val="clear" w:color="auto" w:fill="DBE5F1" w:themeFill="accent1" w:themeFillTint="33"/>
          </w:tcPr>
          <w:p w14:paraId="0F8B0E22" w14:textId="77777777" w:rsidR="00C17069" w:rsidRPr="005D1C78" w:rsidRDefault="00C17069" w:rsidP="00B811E3">
            <w:pPr>
              <w:ind w:right="0"/>
              <w:rPr>
                <w:b/>
              </w:rPr>
            </w:pPr>
            <w:r w:rsidRPr="1E29057C">
              <w:rPr>
                <w:b/>
                <w:bCs/>
              </w:rPr>
              <w:t>Section  #</w:t>
            </w:r>
          </w:p>
        </w:tc>
        <w:tc>
          <w:tcPr>
            <w:tcW w:w="992" w:type="dxa"/>
            <w:shd w:val="clear" w:color="auto" w:fill="DBE5F1" w:themeFill="accent1" w:themeFillTint="33"/>
          </w:tcPr>
          <w:p w14:paraId="64A9F5D5" w14:textId="77777777" w:rsidR="00C17069" w:rsidRPr="005D1C78" w:rsidRDefault="00C17069" w:rsidP="00B811E3">
            <w:pPr>
              <w:ind w:right="0"/>
              <w:rPr>
                <w:b/>
              </w:rPr>
            </w:pPr>
            <w:r w:rsidRPr="1E29057C">
              <w:rPr>
                <w:b/>
                <w:bCs/>
              </w:rPr>
              <w:t>Page       #</w:t>
            </w:r>
          </w:p>
        </w:tc>
        <w:tc>
          <w:tcPr>
            <w:tcW w:w="2059" w:type="dxa"/>
            <w:shd w:val="clear" w:color="auto" w:fill="DBE5F1" w:themeFill="accent1" w:themeFillTint="33"/>
          </w:tcPr>
          <w:p w14:paraId="6748D128" w14:textId="77777777" w:rsidR="00C17069" w:rsidRPr="005D1C78" w:rsidRDefault="00C17069" w:rsidP="00B811E3">
            <w:pPr>
              <w:rPr>
                <w:b/>
              </w:rPr>
            </w:pPr>
            <w:r w:rsidRPr="005D1C78">
              <w:rPr>
                <w:b/>
              </w:rPr>
              <w:t>Topic</w:t>
            </w:r>
          </w:p>
        </w:tc>
        <w:tc>
          <w:tcPr>
            <w:tcW w:w="3328" w:type="dxa"/>
            <w:shd w:val="clear" w:color="auto" w:fill="DBE5F1" w:themeFill="accent1" w:themeFillTint="33"/>
          </w:tcPr>
          <w:p w14:paraId="6F8CD122" w14:textId="77777777" w:rsidR="00C17069" w:rsidRPr="005D1C78" w:rsidRDefault="00C17069" w:rsidP="00B811E3">
            <w:pPr>
              <w:rPr>
                <w:b/>
              </w:rPr>
            </w:pPr>
            <w:r w:rsidRPr="005D1C78">
              <w:rPr>
                <w:b/>
              </w:rPr>
              <w:t>Comment</w:t>
            </w:r>
          </w:p>
        </w:tc>
        <w:tc>
          <w:tcPr>
            <w:tcW w:w="3328" w:type="dxa"/>
            <w:shd w:val="clear" w:color="auto" w:fill="DBE5F1" w:themeFill="accent1" w:themeFillTint="33"/>
          </w:tcPr>
          <w:p w14:paraId="083FEAE2" w14:textId="77777777" w:rsidR="00C17069" w:rsidRPr="005D1C78" w:rsidRDefault="00C17069" w:rsidP="00B811E3">
            <w:pPr>
              <w:rPr>
                <w:b/>
              </w:rPr>
            </w:pPr>
            <w:r w:rsidRPr="005D1C78">
              <w:rPr>
                <w:b/>
              </w:rPr>
              <w:t>Proposed change</w:t>
            </w:r>
          </w:p>
        </w:tc>
        <w:tc>
          <w:tcPr>
            <w:tcW w:w="3329" w:type="dxa"/>
            <w:shd w:val="clear" w:color="auto" w:fill="DBE5F1" w:themeFill="accent1" w:themeFillTint="33"/>
          </w:tcPr>
          <w:p w14:paraId="17229860" w14:textId="77777777" w:rsidR="00C17069" w:rsidRPr="005D1C78" w:rsidRDefault="00C17069" w:rsidP="00B811E3">
            <w:pPr>
              <w:rPr>
                <w:b/>
              </w:rPr>
            </w:pPr>
          </w:p>
        </w:tc>
      </w:tr>
      <w:tr w:rsidR="00C17069" w:rsidRPr="00DB186A" w14:paraId="649D8EEE" w14:textId="77777777" w:rsidTr="00B811E3">
        <w:tc>
          <w:tcPr>
            <w:tcW w:w="846" w:type="dxa"/>
          </w:tcPr>
          <w:p w14:paraId="17F52915" w14:textId="77777777" w:rsidR="00C17069" w:rsidRPr="00DB186A" w:rsidRDefault="00C17069" w:rsidP="00B811E3">
            <w:pPr>
              <w:ind w:right="0"/>
            </w:pPr>
            <w:r w:rsidRPr="00DB186A">
              <w:t>4</w:t>
            </w:r>
          </w:p>
          <w:p w14:paraId="3335CA78" w14:textId="77777777" w:rsidR="00C17069" w:rsidRPr="00DB186A" w:rsidRDefault="00C17069" w:rsidP="00B811E3">
            <w:pPr>
              <w:ind w:right="0"/>
            </w:pPr>
          </w:p>
        </w:tc>
        <w:tc>
          <w:tcPr>
            <w:tcW w:w="992" w:type="dxa"/>
          </w:tcPr>
          <w:p w14:paraId="31A52E25" w14:textId="77777777" w:rsidR="00C17069" w:rsidRPr="00DB186A" w:rsidRDefault="00C17069" w:rsidP="00B811E3">
            <w:pPr>
              <w:ind w:right="0"/>
            </w:pPr>
            <w:r w:rsidRPr="00DB186A">
              <w:t>Intro</w:t>
            </w:r>
          </w:p>
        </w:tc>
        <w:tc>
          <w:tcPr>
            <w:tcW w:w="992" w:type="dxa"/>
          </w:tcPr>
          <w:p w14:paraId="28E7FF09" w14:textId="77777777" w:rsidR="00C17069" w:rsidRPr="00DB186A" w:rsidRDefault="00C17069" w:rsidP="00B811E3">
            <w:pPr>
              <w:ind w:right="0"/>
            </w:pPr>
            <w:r w:rsidRPr="00DB186A">
              <w:t>21</w:t>
            </w:r>
          </w:p>
        </w:tc>
        <w:tc>
          <w:tcPr>
            <w:tcW w:w="2059" w:type="dxa"/>
          </w:tcPr>
          <w:p w14:paraId="672FBB95" w14:textId="77777777" w:rsidR="00C17069" w:rsidRPr="00DB186A" w:rsidRDefault="00C17069" w:rsidP="00B811E3">
            <w:pPr>
              <w:ind w:right="0"/>
              <w:rPr>
                <w:rFonts w:eastAsia="Calibri"/>
              </w:rPr>
            </w:pPr>
            <w:r w:rsidRPr="00DB186A">
              <w:rPr>
                <w:rFonts w:eastAsia="Calibri"/>
              </w:rPr>
              <w:t>Collection</w:t>
            </w:r>
          </w:p>
        </w:tc>
        <w:tc>
          <w:tcPr>
            <w:tcW w:w="3328" w:type="dxa"/>
          </w:tcPr>
          <w:p w14:paraId="2D3C2FA0" w14:textId="77777777" w:rsidR="00C17069" w:rsidRPr="00DB186A" w:rsidRDefault="00C17069" w:rsidP="00B811E3">
            <w:pPr>
              <w:ind w:right="0"/>
              <w:rPr>
                <w:rFonts w:eastAsia="Calibri"/>
              </w:rPr>
            </w:pPr>
            <w:r w:rsidRPr="00DB186A">
              <w:rPr>
                <w:rFonts w:eastAsia="Calibri"/>
              </w:rPr>
              <w:t>CFL, LFL, HID 30% is collected of which 80% is recycled &gt;&gt; is that correct? Used in Exemptions: 2013 45</w:t>
            </w:r>
            <w:proofErr w:type="gramStart"/>
            <w:r w:rsidRPr="00DB186A">
              <w:rPr>
                <w:rFonts w:eastAsia="Calibri"/>
              </w:rPr>
              <w:t>,7</w:t>
            </w:r>
            <w:proofErr w:type="gramEnd"/>
            <w:r w:rsidRPr="00DB186A">
              <w:rPr>
                <w:rFonts w:eastAsia="Calibri"/>
              </w:rPr>
              <w:t>%...</w:t>
            </w:r>
          </w:p>
        </w:tc>
        <w:tc>
          <w:tcPr>
            <w:tcW w:w="3328" w:type="dxa"/>
          </w:tcPr>
          <w:p w14:paraId="78FBE78F" w14:textId="77777777" w:rsidR="00C17069" w:rsidRPr="00DB186A" w:rsidRDefault="00C17069" w:rsidP="00B811E3">
            <w:pPr>
              <w:ind w:right="0"/>
              <w:rPr>
                <w:rFonts w:eastAsia="Calibri"/>
                <w:lang w:val="en-US"/>
              </w:rPr>
            </w:pPr>
          </w:p>
        </w:tc>
        <w:tc>
          <w:tcPr>
            <w:tcW w:w="3329" w:type="dxa"/>
          </w:tcPr>
          <w:p w14:paraId="72EF625D" w14:textId="77777777" w:rsidR="00C17069" w:rsidRPr="00DB186A" w:rsidRDefault="00C17069" w:rsidP="00B811E3"/>
        </w:tc>
      </w:tr>
      <w:tr w:rsidR="00C17069" w:rsidRPr="00DB186A" w14:paraId="274C372F" w14:textId="77777777" w:rsidTr="00B811E3">
        <w:tc>
          <w:tcPr>
            <w:tcW w:w="846" w:type="dxa"/>
          </w:tcPr>
          <w:p w14:paraId="0B813820" w14:textId="77777777" w:rsidR="00C17069" w:rsidRPr="00DB186A" w:rsidRDefault="00C17069" w:rsidP="00B811E3">
            <w:pPr>
              <w:ind w:right="0"/>
            </w:pPr>
            <w:r w:rsidRPr="00DB186A">
              <w:t>4</w:t>
            </w:r>
          </w:p>
          <w:p w14:paraId="7752DA2B" w14:textId="77777777" w:rsidR="00C17069" w:rsidRPr="00DB186A" w:rsidRDefault="00C17069" w:rsidP="00B811E3">
            <w:pPr>
              <w:ind w:right="0"/>
            </w:pPr>
          </w:p>
        </w:tc>
        <w:tc>
          <w:tcPr>
            <w:tcW w:w="992" w:type="dxa"/>
          </w:tcPr>
          <w:p w14:paraId="4088ACD1" w14:textId="77777777" w:rsidR="00C17069" w:rsidRPr="00DB186A" w:rsidRDefault="00C17069" w:rsidP="00B811E3">
            <w:pPr>
              <w:ind w:right="0"/>
            </w:pPr>
            <w:r w:rsidRPr="00DB186A">
              <w:t>2.10.3</w:t>
            </w:r>
          </w:p>
        </w:tc>
        <w:tc>
          <w:tcPr>
            <w:tcW w:w="992" w:type="dxa"/>
          </w:tcPr>
          <w:p w14:paraId="565A97E1" w14:textId="77777777" w:rsidR="00C17069" w:rsidRPr="00DB186A" w:rsidRDefault="00C17069" w:rsidP="00B811E3">
            <w:pPr>
              <w:ind w:right="0"/>
            </w:pPr>
            <w:r w:rsidRPr="00DB186A">
              <w:t>63</w:t>
            </w:r>
          </w:p>
        </w:tc>
        <w:tc>
          <w:tcPr>
            <w:tcW w:w="2059" w:type="dxa"/>
          </w:tcPr>
          <w:p w14:paraId="6C81774A" w14:textId="77777777" w:rsidR="00C17069" w:rsidRPr="00DB186A" w:rsidRDefault="00C17069" w:rsidP="00B811E3">
            <w:pPr>
              <w:ind w:right="0"/>
              <w:rPr>
                <w:rFonts w:eastAsia="Calibri"/>
              </w:rPr>
            </w:pPr>
            <w:r w:rsidRPr="00DB186A">
              <w:rPr>
                <w:rFonts w:eastAsia="Calibri"/>
              </w:rPr>
              <w:t>LED retrofit lamp efficacy</w:t>
            </w:r>
          </w:p>
        </w:tc>
        <w:tc>
          <w:tcPr>
            <w:tcW w:w="3328" w:type="dxa"/>
          </w:tcPr>
          <w:p w14:paraId="3DCA48F2" w14:textId="77777777" w:rsidR="00C17069" w:rsidRPr="00DB186A" w:rsidRDefault="00C17069" w:rsidP="00B811E3">
            <w:pPr>
              <w:ind w:right="0"/>
              <w:rPr>
                <w:lang w:val="en-US"/>
              </w:rPr>
            </w:pPr>
            <w:r w:rsidRPr="00DB186A">
              <w:rPr>
                <w:lang w:val="en-US"/>
              </w:rPr>
              <w:t>Figure 20: only 2014 used as ‘reality point’</w:t>
            </w:r>
          </w:p>
        </w:tc>
        <w:tc>
          <w:tcPr>
            <w:tcW w:w="3328" w:type="dxa"/>
          </w:tcPr>
          <w:p w14:paraId="145D3785" w14:textId="77777777" w:rsidR="00C17069" w:rsidRPr="00DB186A" w:rsidRDefault="00C17069" w:rsidP="00B811E3">
            <w:pPr>
              <w:ind w:right="0"/>
              <w:rPr>
                <w:lang w:val="en-US"/>
              </w:rPr>
            </w:pPr>
            <w:r w:rsidRPr="00DB186A">
              <w:rPr>
                <w:lang w:val="en-US"/>
              </w:rPr>
              <w:t>Use also 2010 &amp; 2012 realized data to make a realized trend-line</w:t>
            </w:r>
          </w:p>
        </w:tc>
        <w:tc>
          <w:tcPr>
            <w:tcW w:w="3329" w:type="dxa"/>
          </w:tcPr>
          <w:p w14:paraId="5727A75B" w14:textId="77777777" w:rsidR="00C17069" w:rsidRPr="00DB186A" w:rsidRDefault="00C17069" w:rsidP="00B811E3"/>
        </w:tc>
      </w:tr>
      <w:tr w:rsidR="00C17069" w:rsidRPr="00DB186A" w14:paraId="028750F8" w14:textId="77777777" w:rsidTr="00B811E3">
        <w:tc>
          <w:tcPr>
            <w:tcW w:w="846" w:type="dxa"/>
          </w:tcPr>
          <w:p w14:paraId="31EDD9D8" w14:textId="77777777" w:rsidR="00C17069" w:rsidRPr="00DB186A" w:rsidRDefault="00C17069" w:rsidP="00B811E3">
            <w:pPr>
              <w:ind w:right="0"/>
            </w:pPr>
            <w:r w:rsidRPr="00DB186A">
              <w:t>4</w:t>
            </w:r>
          </w:p>
        </w:tc>
        <w:tc>
          <w:tcPr>
            <w:tcW w:w="992" w:type="dxa"/>
          </w:tcPr>
          <w:p w14:paraId="0CCB1029" w14:textId="77777777" w:rsidR="00C17069" w:rsidRPr="00DB186A" w:rsidRDefault="00C17069" w:rsidP="00B811E3">
            <w:pPr>
              <w:ind w:right="0"/>
            </w:pPr>
            <w:r w:rsidRPr="00DB186A">
              <w:t>5.7.1</w:t>
            </w:r>
          </w:p>
        </w:tc>
        <w:tc>
          <w:tcPr>
            <w:tcW w:w="992" w:type="dxa"/>
          </w:tcPr>
          <w:p w14:paraId="65379C74" w14:textId="77777777" w:rsidR="00C17069" w:rsidRPr="00DB186A" w:rsidRDefault="00C17069" w:rsidP="00B811E3">
            <w:pPr>
              <w:ind w:right="0"/>
            </w:pPr>
            <w:r w:rsidRPr="00DB186A">
              <w:t>101</w:t>
            </w:r>
          </w:p>
        </w:tc>
        <w:tc>
          <w:tcPr>
            <w:tcW w:w="2059" w:type="dxa"/>
          </w:tcPr>
          <w:p w14:paraId="217A0AC0" w14:textId="77777777" w:rsidR="00C17069" w:rsidRPr="00DB186A" w:rsidRDefault="00C17069" w:rsidP="00B811E3">
            <w:pPr>
              <w:ind w:right="0"/>
              <w:rPr>
                <w:rFonts w:eastAsia="Calibri"/>
              </w:rPr>
            </w:pPr>
            <w:proofErr w:type="spellStart"/>
            <w:r w:rsidRPr="00DB186A">
              <w:rPr>
                <w:rFonts w:eastAsia="Calibri"/>
              </w:rPr>
              <w:t>CFLi</w:t>
            </w:r>
            <w:proofErr w:type="spellEnd"/>
            <w:r w:rsidRPr="00DB186A">
              <w:rPr>
                <w:rFonts w:eastAsia="Calibri"/>
              </w:rPr>
              <w:t xml:space="preserve"> base case Table 27</w:t>
            </w:r>
          </w:p>
        </w:tc>
        <w:tc>
          <w:tcPr>
            <w:tcW w:w="3328" w:type="dxa"/>
          </w:tcPr>
          <w:p w14:paraId="61FB1DD9" w14:textId="77777777" w:rsidR="00C17069" w:rsidRPr="00DB186A" w:rsidRDefault="00C17069" w:rsidP="00B811E3">
            <w:pPr>
              <w:ind w:right="0"/>
            </w:pPr>
            <w:r w:rsidRPr="00DB186A">
              <w:t>Reference year 2013 used, is this still valid &gt; 9,5W is not average (too low)</w:t>
            </w:r>
          </w:p>
        </w:tc>
        <w:tc>
          <w:tcPr>
            <w:tcW w:w="3328" w:type="dxa"/>
          </w:tcPr>
          <w:p w14:paraId="79B4ED36" w14:textId="48EF7938" w:rsidR="00C17069" w:rsidRPr="00DB186A" w:rsidRDefault="00C17069" w:rsidP="00B811E3">
            <w:pPr>
              <w:ind w:right="0"/>
            </w:pPr>
            <w:r w:rsidRPr="00DB186A">
              <w:t>More towards 1</w:t>
            </w:r>
            <w:r w:rsidR="003A2240">
              <w:t>2</w:t>
            </w:r>
            <w:r w:rsidRPr="00DB186A">
              <w:t>W &amp; efficacy of 60 lm/W</w:t>
            </w:r>
          </w:p>
          <w:p w14:paraId="2CFD3996" w14:textId="77777777" w:rsidR="00C17069" w:rsidRPr="00DB186A" w:rsidRDefault="00C17069" w:rsidP="00B811E3">
            <w:pPr>
              <w:ind w:right="0"/>
            </w:pPr>
          </w:p>
        </w:tc>
        <w:tc>
          <w:tcPr>
            <w:tcW w:w="3329" w:type="dxa"/>
          </w:tcPr>
          <w:p w14:paraId="09970AD5" w14:textId="77777777" w:rsidR="00C17069" w:rsidRPr="00DB186A" w:rsidRDefault="00C17069" w:rsidP="00B811E3"/>
        </w:tc>
      </w:tr>
      <w:tr w:rsidR="00C17069" w14:paraId="20CF313E" w14:textId="77777777" w:rsidTr="00B811E3">
        <w:tc>
          <w:tcPr>
            <w:tcW w:w="846" w:type="dxa"/>
          </w:tcPr>
          <w:p w14:paraId="1C39E76E" w14:textId="77777777" w:rsidR="00C17069" w:rsidRDefault="00C17069" w:rsidP="00B811E3">
            <w:pPr>
              <w:ind w:right="0"/>
            </w:pPr>
            <w:r>
              <w:t>4</w:t>
            </w:r>
          </w:p>
          <w:p w14:paraId="74701651" w14:textId="77777777" w:rsidR="00C17069" w:rsidRDefault="00C17069" w:rsidP="00B811E3">
            <w:pPr>
              <w:ind w:right="0"/>
            </w:pPr>
          </w:p>
        </w:tc>
        <w:tc>
          <w:tcPr>
            <w:tcW w:w="992" w:type="dxa"/>
          </w:tcPr>
          <w:p w14:paraId="0B150A7B" w14:textId="77777777" w:rsidR="00C17069" w:rsidRDefault="00C17069" w:rsidP="00B811E3">
            <w:pPr>
              <w:ind w:right="0"/>
            </w:pPr>
            <w:r>
              <w:t>5.13.3</w:t>
            </w:r>
          </w:p>
        </w:tc>
        <w:tc>
          <w:tcPr>
            <w:tcW w:w="992" w:type="dxa"/>
          </w:tcPr>
          <w:p w14:paraId="413FB71F" w14:textId="77777777" w:rsidR="00C17069" w:rsidRPr="00447BB8" w:rsidRDefault="00C17069" w:rsidP="00B811E3">
            <w:pPr>
              <w:ind w:right="0"/>
            </w:pPr>
            <w:r>
              <w:t>124</w:t>
            </w:r>
          </w:p>
        </w:tc>
        <w:tc>
          <w:tcPr>
            <w:tcW w:w="2059" w:type="dxa"/>
          </w:tcPr>
          <w:p w14:paraId="44610112" w14:textId="77777777" w:rsidR="00C17069" w:rsidRPr="1E29057C" w:rsidRDefault="00C17069" w:rsidP="00B811E3">
            <w:pPr>
              <w:ind w:right="0"/>
              <w:rPr>
                <w:rFonts w:eastAsia="Calibri"/>
              </w:rPr>
            </w:pPr>
            <w:r>
              <w:rPr>
                <w:rFonts w:eastAsia="Calibri"/>
              </w:rPr>
              <w:t>BAT characteristic for LED retrofit for non-directional mains voltage halogen</w:t>
            </w:r>
          </w:p>
        </w:tc>
        <w:tc>
          <w:tcPr>
            <w:tcW w:w="3328" w:type="dxa"/>
          </w:tcPr>
          <w:p w14:paraId="5872DD17" w14:textId="77777777" w:rsidR="00C17069" w:rsidRPr="00287AC5" w:rsidRDefault="00C17069" w:rsidP="00B811E3">
            <w:pPr>
              <w:ind w:right="0"/>
            </w:pPr>
            <w:r>
              <w:t>Efficacy filament lamps 90 – 120lm/W &amp; non-dim, Other LED lamps 58 – 104lm/W &amp; come dim &gt;&gt; why conclusion for BAT on 1101120lm/W &amp; DIM!!!</w:t>
            </w:r>
          </w:p>
        </w:tc>
        <w:tc>
          <w:tcPr>
            <w:tcW w:w="3328" w:type="dxa"/>
          </w:tcPr>
          <w:p w14:paraId="4998951F" w14:textId="77777777" w:rsidR="00C17069" w:rsidRPr="007224B3" w:rsidRDefault="00C17069" w:rsidP="00B811E3">
            <w:pPr>
              <w:ind w:right="0"/>
            </w:pPr>
            <w:r>
              <w:t>Lower efficacy &amp; non-dim as BAT!</w:t>
            </w:r>
          </w:p>
        </w:tc>
        <w:tc>
          <w:tcPr>
            <w:tcW w:w="3329" w:type="dxa"/>
          </w:tcPr>
          <w:p w14:paraId="7D9D90F6" w14:textId="77777777" w:rsidR="00C17069" w:rsidRDefault="00C17069" w:rsidP="00B811E3"/>
        </w:tc>
      </w:tr>
      <w:tr w:rsidR="00C17069" w14:paraId="2B10AE8B" w14:textId="77777777" w:rsidTr="00B811E3">
        <w:tc>
          <w:tcPr>
            <w:tcW w:w="846" w:type="dxa"/>
          </w:tcPr>
          <w:p w14:paraId="47A0E560" w14:textId="77777777" w:rsidR="00C17069" w:rsidRPr="0036703B" w:rsidRDefault="00C17069" w:rsidP="00B811E3">
            <w:pPr>
              <w:ind w:right="0"/>
            </w:pPr>
            <w:r w:rsidRPr="0036703B">
              <w:t>4</w:t>
            </w:r>
          </w:p>
          <w:p w14:paraId="028C6327" w14:textId="77777777" w:rsidR="00C17069" w:rsidRPr="0036703B" w:rsidRDefault="00C17069" w:rsidP="00B811E3">
            <w:pPr>
              <w:ind w:right="0"/>
            </w:pPr>
          </w:p>
        </w:tc>
        <w:tc>
          <w:tcPr>
            <w:tcW w:w="992" w:type="dxa"/>
          </w:tcPr>
          <w:p w14:paraId="5EC48963" w14:textId="77777777" w:rsidR="00C17069" w:rsidRPr="0036703B" w:rsidRDefault="00C17069" w:rsidP="00B811E3">
            <w:pPr>
              <w:ind w:right="0"/>
            </w:pPr>
            <w:r w:rsidRPr="0036703B">
              <w:t>6.3</w:t>
            </w:r>
          </w:p>
        </w:tc>
        <w:tc>
          <w:tcPr>
            <w:tcW w:w="992" w:type="dxa"/>
          </w:tcPr>
          <w:p w14:paraId="34D779FA" w14:textId="77777777" w:rsidR="00C17069" w:rsidRPr="0036703B" w:rsidRDefault="00C17069" w:rsidP="00B811E3">
            <w:pPr>
              <w:ind w:right="0"/>
            </w:pPr>
            <w:r w:rsidRPr="0036703B">
              <w:t>159 / 170 / 182</w:t>
            </w:r>
          </w:p>
        </w:tc>
        <w:tc>
          <w:tcPr>
            <w:tcW w:w="2059" w:type="dxa"/>
          </w:tcPr>
          <w:p w14:paraId="496F4296" w14:textId="77777777" w:rsidR="00C17069" w:rsidRPr="0036703B" w:rsidRDefault="00C17069" w:rsidP="00B811E3">
            <w:pPr>
              <w:ind w:right="0"/>
              <w:rPr>
                <w:rFonts w:eastAsia="Calibri"/>
              </w:rPr>
            </w:pPr>
            <w:r w:rsidRPr="0036703B">
              <w:rPr>
                <w:rFonts w:eastAsia="Calibri"/>
              </w:rPr>
              <w:t xml:space="preserve">Weight of packaging </w:t>
            </w:r>
            <w:proofErr w:type="spellStart"/>
            <w:r w:rsidRPr="0036703B">
              <w:rPr>
                <w:rFonts w:eastAsia="Calibri"/>
              </w:rPr>
              <w:t>CFLi</w:t>
            </w:r>
            <w:proofErr w:type="spellEnd"/>
            <w:r w:rsidRPr="0036703B">
              <w:rPr>
                <w:rFonts w:eastAsia="Calibri"/>
              </w:rPr>
              <w:t xml:space="preserve"> / MV HAL E / LED Retrofit</w:t>
            </w:r>
          </w:p>
        </w:tc>
        <w:tc>
          <w:tcPr>
            <w:tcW w:w="3328" w:type="dxa"/>
          </w:tcPr>
          <w:p w14:paraId="4C5A5B5E" w14:textId="77777777" w:rsidR="00C17069" w:rsidRPr="0036703B" w:rsidRDefault="00C17069" w:rsidP="00B811E3">
            <w:pPr>
              <w:ind w:right="0"/>
              <w:rPr>
                <w:rFonts w:eastAsia="Calibri"/>
              </w:rPr>
            </w:pPr>
            <w:r w:rsidRPr="0036703B">
              <w:rPr>
                <w:rFonts w:eastAsia="Calibri"/>
              </w:rPr>
              <w:t xml:space="preserve">Cardboard paper </w:t>
            </w:r>
            <w:proofErr w:type="spellStart"/>
            <w:r w:rsidRPr="0036703B">
              <w:rPr>
                <w:rFonts w:eastAsia="Calibri"/>
              </w:rPr>
              <w:t>cfli</w:t>
            </w:r>
            <w:proofErr w:type="spellEnd"/>
            <w:r w:rsidRPr="0036703B">
              <w:rPr>
                <w:rFonts w:eastAsia="Calibri"/>
              </w:rPr>
              <w:t xml:space="preserve"> &amp; halo = 54 gr, LED = 36 gr &gt; why this difference?</w:t>
            </w:r>
            <w:r>
              <w:rPr>
                <w:rFonts w:eastAsia="Calibri"/>
              </w:rPr>
              <w:t xml:space="preserve"> Plastics same 6 &lt;&gt; 4 gr</w:t>
            </w:r>
          </w:p>
        </w:tc>
        <w:tc>
          <w:tcPr>
            <w:tcW w:w="3328" w:type="dxa"/>
          </w:tcPr>
          <w:p w14:paraId="41700E0C" w14:textId="77777777" w:rsidR="00C17069" w:rsidRPr="0036703B" w:rsidRDefault="00C17069" w:rsidP="00B811E3">
            <w:pPr>
              <w:ind w:right="0"/>
              <w:rPr>
                <w:rFonts w:eastAsia="Calibri"/>
              </w:rPr>
            </w:pPr>
            <w:r>
              <w:rPr>
                <w:rFonts w:eastAsia="Calibri"/>
              </w:rPr>
              <w:t>Packaging LED same or heavier than CFL / HALO + far more plastics used!!</w:t>
            </w:r>
          </w:p>
        </w:tc>
        <w:tc>
          <w:tcPr>
            <w:tcW w:w="3329" w:type="dxa"/>
          </w:tcPr>
          <w:p w14:paraId="02D7C797" w14:textId="77777777" w:rsidR="00C17069" w:rsidRPr="0036703B" w:rsidRDefault="00C17069" w:rsidP="00B811E3"/>
        </w:tc>
      </w:tr>
      <w:tr w:rsidR="00C17069" w:rsidRPr="005D1C78" w14:paraId="4C551D15" w14:textId="77777777" w:rsidTr="00B811E3">
        <w:trPr>
          <w:trHeight w:val="1134"/>
        </w:trPr>
        <w:tc>
          <w:tcPr>
            <w:tcW w:w="846" w:type="dxa"/>
          </w:tcPr>
          <w:p w14:paraId="3A04D74D" w14:textId="77777777" w:rsidR="00C17069" w:rsidRPr="00AF02E1" w:rsidRDefault="00C17069" w:rsidP="00B811E3">
            <w:pPr>
              <w:ind w:right="-110"/>
            </w:pPr>
            <w:r w:rsidRPr="00AF02E1">
              <w:t>5</w:t>
            </w:r>
          </w:p>
        </w:tc>
        <w:tc>
          <w:tcPr>
            <w:tcW w:w="992" w:type="dxa"/>
          </w:tcPr>
          <w:p w14:paraId="66C4766B" w14:textId="77777777" w:rsidR="00C17069" w:rsidRPr="00AF02E1" w:rsidRDefault="00C17069" w:rsidP="00B811E3">
            <w:pPr>
              <w:ind w:right="-94"/>
            </w:pPr>
            <w:r w:rsidRPr="00AF02E1">
              <w:t>3.2</w:t>
            </w:r>
          </w:p>
        </w:tc>
        <w:tc>
          <w:tcPr>
            <w:tcW w:w="992" w:type="dxa"/>
          </w:tcPr>
          <w:p w14:paraId="19FFD1B9" w14:textId="77777777" w:rsidR="00C17069" w:rsidRPr="00AF02E1" w:rsidRDefault="00C17069" w:rsidP="00B811E3">
            <w:pPr>
              <w:ind w:right="-77"/>
            </w:pPr>
            <w:r w:rsidRPr="00AF02E1">
              <w:t>29</w:t>
            </w:r>
          </w:p>
        </w:tc>
        <w:tc>
          <w:tcPr>
            <w:tcW w:w="2059" w:type="dxa"/>
          </w:tcPr>
          <w:p w14:paraId="061D5A70" w14:textId="77777777" w:rsidR="00C17069" w:rsidRPr="00AF02E1" w:rsidRDefault="00C17069" w:rsidP="00B811E3">
            <w:pPr>
              <w:ind w:right="-120"/>
            </w:pPr>
            <w:r w:rsidRPr="00AF02E1">
              <w:t>Table 14 Life cycle impact per product … over lifetime.</w:t>
            </w:r>
          </w:p>
        </w:tc>
        <w:tc>
          <w:tcPr>
            <w:tcW w:w="3328" w:type="dxa"/>
          </w:tcPr>
          <w:p w14:paraId="2F231EF4" w14:textId="77777777" w:rsidR="00C17069" w:rsidRDefault="00C17069" w:rsidP="00B811E3">
            <w:pPr>
              <w:ind w:right="-120"/>
            </w:pPr>
            <w:r>
              <w:t>Weight of ‘</w:t>
            </w:r>
            <w:proofErr w:type="spellStart"/>
            <w:r>
              <w:t>Misc</w:t>
            </w:r>
            <w:proofErr w:type="spellEnd"/>
            <w:r>
              <w:t xml:space="preserve">’ very high for </w:t>
            </w:r>
            <w:proofErr w:type="spellStart"/>
            <w:r>
              <w:t>cfli</w:t>
            </w:r>
            <w:proofErr w:type="spellEnd"/>
            <w:r>
              <w:t>, HL MV E, HL MV X and low for LED &gt; what is in here?</w:t>
            </w:r>
          </w:p>
          <w:p w14:paraId="71674D2E" w14:textId="77777777" w:rsidR="00C17069" w:rsidRPr="00AF02E1" w:rsidRDefault="00C17069" w:rsidP="00B811E3">
            <w:pPr>
              <w:ind w:right="-120"/>
            </w:pPr>
            <w:r>
              <w:t xml:space="preserve">Recycling part of LED is very, very high &gt; coming to 0 for ‘Stock’ while for </w:t>
            </w:r>
            <w:proofErr w:type="spellStart"/>
            <w:r>
              <w:t>CFLi</w:t>
            </w:r>
            <w:proofErr w:type="spellEnd"/>
            <w:r>
              <w:t xml:space="preserve"> and HL MV a lot remains in ‘stock’</w:t>
            </w:r>
          </w:p>
        </w:tc>
        <w:tc>
          <w:tcPr>
            <w:tcW w:w="3328" w:type="dxa"/>
          </w:tcPr>
          <w:p w14:paraId="2308D60C" w14:textId="77777777" w:rsidR="00C17069" w:rsidRPr="00AF02E1" w:rsidRDefault="00C17069" w:rsidP="00B811E3">
            <w:pPr>
              <w:ind w:right="-120"/>
            </w:pPr>
            <w:r>
              <w:t>Explain what is in ‘</w:t>
            </w:r>
            <w:proofErr w:type="spellStart"/>
            <w:r>
              <w:t>Misc</w:t>
            </w:r>
            <w:proofErr w:type="spellEnd"/>
            <w:r>
              <w:t>’ and how the shares of recycling and stock are allocated &gt; this feels like allocating to a purpose…</w:t>
            </w:r>
          </w:p>
        </w:tc>
        <w:tc>
          <w:tcPr>
            <w:tcW w:w="3329" w:type="dxa"/>
          </w:tcPr>
          <w:p w14:paraId="25085943" w14:textId="77777777" w:rsidR="00C17069" w:rsidRPr="00AF02E1" w:rsidRDefault="00C17069" w:rsidP="00B811E3"/>
        </w:tc>
      </w:tr>
      <w:tr w:rsidR="00C17069" w:rsidRPr="00AF02E1" w14:paraId="1ACBEC3F" w14:textId="77777777" w:rsidTr="00B811E3">
        <w:trPr>
          <w:trHeight w:val="487"/>
        </w:trPr>
        <w:tc>
          <w:tcPr>
            <w:tcW w:w="846" w:type="dxa"/>
          </w:tcPr>
          <w:p w14:paraId="78497BE0" w14:textId="77777777" w:rsidR="00C17069" w:rsidRPr="00AF02E1" w:rsidRDefault="00C17069" w:rsidP="00B811E3">
            <w:pPr>
              <w:ind w:right="-110"/>
            </w:pPr>
            <w:r w:rsidRPr="00AF02E1">
              <w:t>6</w:t>
            </w:r>
          </w:p>
        </w:tc>
        <w:tc>
          <w:tcPr>
            <w:tcW w:w="992" w:type="dxa"/>
          </w:tcPr>
          <w:p w14:paraId="36224AFE" w14:textId="77777777" w:rsidR="00C17069" w:rsidRPr="00AF02E1" w:rsidRDefault="00C17069" w:rsidP="00B811E3">
            <w:pPr>
              <w:ind w:right="-94"/>
            </w:pPr>
            <w:r>
              <w:t>General / 3.9</w:t>
            </w:r>
          </w:p>
        </w:tc>
        <w:tc>
          <w:tcPr>
            <w:tcW w:w="992" w:type="dxa"/>
          </w:tcPr>
          <w:p w14:paraId="5CA3CD76" w14:textId="77777777" w:rsidR="00C17069" w:rsidRPr="00AF02E1" w:rsidRDefault="00C17069" w:rsidP="00B811E3">
            <w:pPr>
              <w:ind w:right="-77"/>
            </w:pPr>
            <w:r>
              <w:t>44</w:t>
            </w:r>
          </w:p>
        </w:tc>
        <w:tc>
          <w:tcPr>
            <w:tcW w:w="2059" w:type="dxa"/>
          </w:tcPr>
          <w:p w14:paraId="130E03E2" w14:textId="77777777" w:rsidR="00C17069" w:rsidRPr="00AF02E1" w:rsidRDefault="00C17069" w:rsidP="00B811E3">
            <w:pPr>
              <w:ind w:right="-120"/>
            </w:pPr>
            <w:r>
              <w:t>Table 9 Summary of design options for MV NDLS &gt;&gt; use life (hours)</w:t>
            </w:r>
          </w:p>
        </w:tc>
        <w:tc>
          <w:tcPr>
            <w:tcW w:w="3328" w:type="dxa"/>
          </w:tcPr>
          <w:p w14:paraId="1BB7AAAE" w14:textId="77777777" w:rsidR="00C17069" w:rsidRPr="00AF02E1" w:rsidRDefault="00C17069" w:rsidP="00B811E3">
            <w:pPr>
              <w:ind w:right="-120"/>
            </w:pPr>
            <w:proofErr w:type="spellStart"/>
            <w:r>
              <w:t>CFLi</w:t>
            </w:r>
            <w:proofErr w:type="spellEnd"/>
            <w:r>
              <w:t xml:space="preserve"> = </w:t>
            </w:r>
            <w:proofErr w:type="gramStart"/>
            <w:r>
              <w:t>6000  (</w:t>
            </w:r>
            <w:proofErr w:type="gramEnd"/>
            <w:r>
              <w:t xml:space="preserve">many 10khrs!) and LED 2015 20K (often now going to 15K) and in 2020 still 20K (lower? 6 – 10 – 15k?) &gt;&gt; </w:t>
            </w:r>
            <w:proofErr w:type="gramStart"/>
            <w:r>
              <w:t>also</w:t>
            </w:r>
            <w:proofErr w:type="gramEnd"/>
            <w:r>
              <w:t xml:space="preserve"> included in installation costs (</w:t>
            </w:r>
            <w:proofErr w:type="spellStart"/>
            <w:r>
              <w:t>CFLi</w:t>
            </w:r>
            <w:proofErr w:type="spellEnd"/>
            <w:r>
              <w:t xml:space="preserve"> 3x vs LED 1x &gt; with 10K hrs lamps just 2x!! and in future equal?</w:t>
            </w:r>
          </w:p>
        </w:tc>
        <w:tc>
          <w:tcPr>
            <w:tcW w:w="3328" w:type="dxa"/>
          </w:tcPr>
          <w:p w14:paraId="701B83D0" w14:textId="77777777" w:rsidR="00C17069" w:rsidRPr="00AF02E1" w:rsidRDefault="00C17069" w:rsidP="00B811E3">
            <w:pPr>
              <w:ind w:right="-16"/>
            </w:pPr>
            <w:r>
              <w:t>In the projection of future capabilities of LED is taken into account that besides a higher lm/W a LOWER lifetime is very likely (going down towards 6000hrs) in the race to low price points?</w:t>
            </w:r>
          </w:p>
        </w:tc>
        <w:tc>
          <w:tcPr>
            <w:tcW w:w="3329" w:type="dxa"/>
          </w:tcPr>
          <w:p w14:paraId="6A9CC203" w14:textId="77777777" w:rsidR="00C17069" w:rsidRPr="00AF02E1" w:rsidRDefault="00C17069" w:rsidP="00B811E3"/>
        </w:tc>
      </w:tr>
      <w:tr w:rsidR="00C17069" w:rsidRPr="005D1C78" w14:paraId="1780B76D" w14:textId="77777777" w:rsidTr="00B811E3">
        <w:trPr>
          <w:trHeight w:val="1134"/>
        </w:trPr>
        <w:tc>
          <w:tcPr>
            <w:tcW w:w="846" w:type="dxa"/>
          </w:tcPr>
          <w:p w14:paraId="1C32E9BB" w14:textId="77777777" w:rsidR="00C17069" w:rsidRPr="00AF02E1" w:rsidRDefault="00C17069" w:rsidP="00B811E3">
            <w:pPr>
              <w:ind w:right="-110"/>
            </w:pPr>
            <w:r>
              <w:t>6</w:t>
            </w:r>
          </w:p>
        </w:tc>
        <w:tc>
          <w:tcPr>
            <w:tcW w:w="992" w:type="dxa"/>
          </w:tcPr>
          <w:p w14:paraId="683D714A" w14:textId="77777777" w:rsidR="00C17069" w:rsidRPr="00AF02E1" w:rsidRDefault="00C17069" w:rsidP="00B811E3">
            <w:pPr>
              <w:ind w:right="-94"/>
            </w:pPr>
          </w:p>
        </w:tc>
        <w:tc>
          <w:tcPr>
            <w:tcW w:w="992" w:type="dxa"/>
          </w:tcPr>
          <w:p w14:paraId="1830133B" w14:textId="77777777" w:rsidR="00C17069" w:rsidRPr="00AF02E1" w:rsidRDefault="00C17069" w:rsidP="00B811E3">
            <w:pPr>
              <w:ind w:right="-77"/>
            </w:pPr>
          </w:p>
        </w:tc>
        <w:tc>
          <w:tcPr>
            <w:tcW w:w="2059" w:type="dxa"/>
          </w:tcPr>
          <w:p w14:paraId="075E6EC4" w14:textId="77777777" w:rsidR="00C17069" w:rsidRPr="00AF02E1" w:rsidRDefault="00C17069" w:rsidP="00B811E3">
            <w:pPr>
              <w:ind w:right="-120"/>
            </w:pPr>
            <w:r>
              <w:t>Same table 9&gt;&gt; recycling</w:t>
            </w:r>
          </w:p>
        </w:tc>
        <w:tc>
          <w:tcPr>
            <w:tcW w:w="3328" w:type="dxa"/>
          </w:tcPr>
          <w:p w14:paraId="4CCC0EBF" w14:textId="77777777" w:rsidR="00C17069" w:rsidRPr="00AF02E1" w:rsidRDefault="00C17069" w:rsidP="00B811E3">
            <w:pPr>
              <w:ind w:right="-120"/>
            </w:pPr>
            <w:r>
              <w:t xml:space="preserve">EIL recycling of LED higher than </w:t>
            </w:r>
            <w:proofErr w:type="spellStart"/>
            <w:r>
              <w:t>CFLi</w:t>
            </w:r>
            <w:proofErr w:type="spellEnd"/>
            <w:r>
              <w:t xml:space="preserve"> in 2015 &gt;&gt; based on which data?</w:t>
            </w:r>
            <w:r>
              <w:br/>
              <w:t xml:space="preserve">Total weight of </w:t>
            </w:r>
            <w:proofErr w:type="spellStart"/>
            <w:r>
              <w:t>CFLi</w:t>
            </w:r>
            <w:proofErr w:type="spellEnd"/>
            <w:r>
              <w:t xml:space="preserve"> 119 vs LED 2015 106 &gt;&gt; why is </w:t>
            </w:r>
            <w:proofErr w:type="spellStart"/>
            <w:r>
              <w:t>CFLi</w:t>
            </w:r>
            <w:proofErr w:type="spellEnd"/>
            <w:r>
              <w:t xml:space="preserve"> more heavy?</w:t>
            </w:r>
          </w:p>
        </w:tc>
        <w:tc>
          <w:tcPr>
            <w:tcW w:w="3328" w:type="dxa"/>
          </w:tcPr>
          <w:p w14:paraId="4B5EA268" w14:textId="77777777" w:rsidR="00C17069" w:rsidRPr="00AF02E1" w:rsidRDefault="00C17069" w:rsidP="00B811E3"/>
        </w:tc>
        <w:tc>
          <w:tcPr>
            <w:tcW w:w="3329" w:type="dxa"/>
          </w:tcPr>
          <w:p w14:paraId="088954A3" w14:textId="77777777" w:rsidR="00C17069" w:rsidRPr="00AF02E1" w:rsidRDefault="00C17069" w:rsidP="00B811E3"/>
        </w:tc>
      </w:tr>
      <w:tr w:rsidR="00C17069" w:rsidRPr="005D1C78" w14:paraId="3C291933" w14:textId="77777777" w:rsidTr="00B811E3">
        <w:trPr>
          <w:trHeight w:val="1134"/>
        </w:trPr>
        <w:tc>
          <w:tcPr>
            <w:tcW w:w="846" w:type="dxa"/>
          </w:tcPr>
          <w:p w14:paraId="40098BA4" w14:textId="77777777" w:rsidR="00C17069" w:rsidRPr="00AF02E1" w:rsidRDefault="00C17069" w:rsidP="00B811E3">
            <w:pPr>
              <w:ind w:right="-110"/>
            </w:pPr>
            <w:r>
              <w:lastRenderedPageBreak/>
              <w:t>6</w:t>
            </w:r>
          </w:p>
        </w:tc>
        <w:tc>
          <w:tcPr>
            <w:tcW w:w="992" w:type="dxa"/>
          </w:tcPr>
          <w:p w14:paraId="493EF183" w14:textId="77777777" w:rsidR="00C17069" w:rsidRPr="00AF02E1" w:rsidRDefault="00C17069" w:rsidP="00B811E3">
            <w:pPr>
              <w:ind w:right="-94"/>
            </w:pPr>
            <w:r>
              <w:t>3.10</w:t>
            </w:r>
          </w:p>
        </w:tc>
        <w:tc>
          <w:tcPr>
            <w:tcW w:w="992" w:type="dxa"/>
          </w:tcPr>
          <w:p w14:paraId="0EC40DC1" w14:textId="77777777" w:rsidR="00C17069" w:rsidRPr="00AF02E1" w:rsidRDefault="00C17069" w:rsidP="00B811E3">
            <w:pPr>
              <w:ind w:right="-77"/>
            </w:pPr>
            <w:r>
              <w:t>48</w:t>
            </w:r>
          </w:p>
        </w:tc>
        <w:tc>
          <w:tcPr>
            <w:tcW w:w="2059" w:type="dxa"/>
          </w:tcPr>
          <w:p w14:paraId="12504C74" w14:textId="77777777" w:rsidR="00C17069" w:rsidRPr="00AF02E1" w:rsidRDefault="00C17069" w:rsidP="00B811E3">
            <w:pPr>
              <w:ind w:right="-120"/>
            </w:pPr>
            <w:r>
              <w:t>Table 10 Summary of design options for MV DLS lamps</w:t>
            </w:r>
          </w:p>
        </w:tc>
        <w:tc>
          <w:tcPr>
            <w:tcW w:w="3328" w:type="dxa"/>
          </w:tcPr>
          <w:p w14:paraId="2D91BF7B" w14:textId="77777777" w:rsidR="00C17069" w:rsidRPr="00AF02E1" w:rsidRDefault="00C17069" w:rsidP="00B811E3">
            <w:pPr>
              <w:ind w:right="-120"/>
            </w:pPr>
            <w:r>
              <w:t>Useful life (hours) HL MV X 1500 hrs &gt;&gt; is this correct? (not more towards 2000 / 3000 hrs)</w:t>
            </w:r>
          </w:p>
        </w:tc>
        <w:tc>
          <w:tcPr>
            <w:tcW w:w="3328" w:type="dxa"/>
          </w:tcPr>
          <w:p w14:paraId="4B6B9425" w14:textId="77777777" w:rsidR="00C17069" w:rsidRPr="00AF02E1" w:rsidRDefault="00C17069" w:rsidP="00B811E3"/>
        </w:tc>
        <w:tc>
          <w:tcPr>
            <w:tcW w:w="3329" w:type="dxa"/>
          </w:tcPr>
          <w:p w14:paraId="791F2DB3" w14:textId="77777777" w:rsidR="00C17069" w:rsidRPr="00AF02E1" w:rsidRDefault="00C17069" w:rsidP="00B811E3"/>
        </w:tc>
      </w:tr>
      <w:tr w:rsidR="00C17069" w:rsidRPr="00242212" w14:paraId="13EE73B3" w14:textId="77777777" w:rsidTr="00B811E3">
        <w:tc>
          <w:tcPr>
            <w:tcW w:w="846" w:type="dxa"/>
          </w:tcPr>
          <w:p w14:paraId="0FB88608" w14:textId="77777777" w:rsidR="00C17069" w:rsidRPr="00242212" w:rsidRDefault="00C17069" w:rsidP="00B811E3">
            <w:pPr>
              <w:ind w:right="-110"/>
            </w:pPr>
            <w:r w:rsidRPr="00242212">
              <w:t>6</w:t>
            </w:r>
          </w:p>
        </w:tc>
        <w:tc>
          <w:tcPr>
            <w:tcW w:w="992" w:type="dxa"/>
          </w:tcPr>
          <w:p w14:paraId="34FAA5D7" w14:textId="77777777" w:rsidR="00C17069" w:rsidRPr="00242212" w:rsidRDefault="00C17069" w:rsidP="00B811E3">
            <w:pPr>
              <w:ind w:right="-110"/>
            </w:pPr>
            <w:r w:rsidRPr="00242212">
              <w:t>Executive Summary / 3.9</w:t>
            </w:r>
          </w:p>
        </w:tc>
        <w:tc>
          <w:tcPr>
            <w:tcW w:w="992" w:type="dxa"/>
          </w:tcPr>
          <w:p w14:paraId="0EB90725" w14:textId="77777777" w:rsidR="00C17069" w:rsidRPr="00242212" w:rsidRDefault="00C17069" w:rsidP="00B811E3">
            <w:pPr>
              <w:ind w:right="0"/>
            </w:pPr>
            <w:r w:rsidRPr="00242212">
              <w:t xml:space="preserve">6, 42/43 </w:t>
            </w:r>
          </w:p>
        </w:tc>
        <w:tc>
          <w:tcPr>
            <w:tcW w:w="2059" w:type="dxa"/>
          </w:tcPr>
          <w:p w14:paraId="6B53C857" w14:textId="77777777" w:rsidR="00C17069" w:rsidRPr="00242212" w:rsidRDefault="00C17069" w:rsidP="00B811E3">
            <w:r>
              <w:t xml:space="preserve">Payback time GLS X, Hal MV E, </w:t>
            </w:r>
            <w:proofErr w:type="spellStart"/>
            <w:r>
              <w:t>CFLi</w:t>
            </w:r>
            <w:proofErr w:type="spellEnd"/>
          </w:p>
        </w:tc>
        <w:tc>
          <w:tcPr>
            <w:tcW w:w="3328" w:type="dxa"/>
          </w:tcPr>
          <w:p w14:paraId="0839B0C3" w14:textId="77777777" w:rsidR="00C17069" w:rsidRPr="00242212" w:rsidRDefault="00C17069" w:rsidP="00B811E3">
            <w:r>
              <w:t xml:space="preserve">Very long payback times, even for GLS and certainly for </w:t>
            </w:r>
            <w:proofErr w:type="spellStart"/>
            <w:r>
              <w:t>CFLi</w:t>
            </w:r>
            <w:proofErr w:type="spellEnd"/>
            <w:r>
              <w:t>!!!</w:t>
            </w:r>
          </w:p>
        </w:tc>
        <w:tc>
          <w:tcPr>
            <w:tcW w:w="3328" w:type="dxa"/>
          </w:tcPr>
          <w:p w14:paraId="283EE5C2" w14:textId="77777777" w:rsidR="00C17069" w:rsidRPr="00242212" w:rsidRDefault="00C17069" w:rsidP="00B811E3"/>
        </w:tc>
        <w:tc>
          <w:tcPr>
            <w:tcW w:w="3329" w:type="dxa"/>
          </w:tcPr>
          <w:p w14:paraId="100110CE" w14:textId="77777777" w:rsidR="00C17069" w:rsidRPr="00242212" w:rsidRDefault="00C17069" w:rsidP="00B811E3"/>
        </w:tc>
      </w:tr>
      <w:tr w:rsidR="00C17069" w:rsidRPr="00242212" w14:paraId="2C59C5E5" w14:textId="77777777" w:rsidTr="00B811E3">
        <w:tc>
          <w:tcPr>
            <w:tcW w:w="2830" w:type="dxa"/>
            <w:gridSpan w:val="3"/>
          </w:tcPr>
          <w:p w14:paraId="3DD94ABB" w14:textId="1DC9CA73" w:rsidR="00C17069" w:rsidRPr="00DD1526" w:rsidRDefault="00C17069" w:rsidP="00B811E3">
            <w:pPr>
              <w:ind w:right="0"/>
              <w:rPr>
                <w:b/>
                <w:color w:val="FF0000"/>
              </w:rPr>
            </w:pPr>
          </w:p>
        </w:tc>
        <w:tc>
          <w:tcPr>
            <w:tcW w:w="2059" w:type="dxa"/>
          </w:tcPr>
          <w:p w14:paraId="5414C452" w14:textId="77777777" w:rsidR="00C17069" w:rsidRPr="00242212" w:rsidRDefault="00C17069" w:rsidP="00B811E3">
            <w:pPr>
              <w:ind w:right="0"/>
              <w:rPr>
                <w:rFonts w:eastAsia="Calibri"/>
              </w:rPr>
            </w:pPr>
          </w:p>
        </w:tc>
        <w:tc>
          <w:tcPr>
            <w:tcW w:w="3328" w:type="dxa"/>
          </w:tcPr>
          <w:p w14:paraId="3BBC5634" w14:textId="77777777" w:rsidR="00C17069" w:rsidRPr="00242212" w:rsidRDefault="00C17069" w:rsidP="00B811E3">
            <w:pPr>
              <w:ind w:right="0"/>
              <w:rPr>
                <w:rFonts w:eastAsia="Calibri"/>
              </w:rPr>
            </w:pPr>
          </w:p>
        </w:tc>
        <w:tc>
          <w:tcPr>
            <w:tcW w:w="3328" w:type="dxa"/>
          </w:tcPr>
          <w:p w14:paraId="4343EF9E" w14:textId="77777777" w:rsidR="00C17069" w:rsidRPr="00242212" w:rsidRDefault="00C17069" w:rsidP="00B811E3">
            <w:pPr>
              <w:ind w:right="0"/>
              <w:rPr>
                <w:rFonts w:eastAsia="Calibri"/>
              </w:rPr>
            </w:pPr>
          </w:p>
        </w:tc>
        <w:tc>
          <w:tcPr>
            <w:tcW w:w="3329" w:type="dxa"/>
          </w:tcPr>
          <w:p w14:paraId="204C5B5D" w14:textId="77777777" w:rsidR="00C17069" w:rsidRPr="00242212" w:rsidRDefault="00C17069" w:rsidP="00B811E3"/>
        </w:tc>
      </w:tr>
      <w:tr w:rsidR="00C17069" w:rsidRPr="005D1C78" w14:paraId="063A9799" w14:textId="77777777" w:rsidTr="00B811E3">
        <w:trPr>
          <w:trHeight w:val="1134"/>
        </w:trPr>
        <w:tc>
          <w:tcPr>
            <w:tcW w:w="846" w:type="dxa"/>
          </w:tcPr>
          <w:p w14:paraId="0B09A422" w14:textId="77777777" w:rsidR="00C17069" w:rsidRPr="00242212" w:rsidRDefault="00C17069" w:rsidP="00B811E3">
            <w:pPr>
              <w:ind w:right="-110"/>
            </w:pPr>
            <w:r>
              <w:t>4</w:t>
            </w:r>
          </w:p>
        </w:tc>
        <w:tc>
          <w:tcPr>
            <w:tcW w:w="992" w:type="dxa"/>
          </w:tcPr>
          <w:p w14:paraId="0BEA59D6" w14:textId="77777777" w:rsidR="00C17069" w:rsidRPr="00242212" w:rsidRDefault="00C17069" w:rsidP="00B811E3">
            <w:pPr>
              <w:ind w:right="-94"/>
            </w:pPr>
            <w:r>
              <w:t>Executive summary</w:t>
            </w:r>
          </w:p>
        </w:tc>
        <w:tc>
          <w:tcPr>
            <w:tcW w:w="992" w:type="dxa"/>
          </w:tcPr>
          <w:p w14:paraId="38852409" w14:textId="77777777" w:rsidR="00C17069" w:rsidRPr="00242212" w:rsidRDefault="00C17069" w:rsidP="00B811E3">
            <w:pPr>
              <w:ind w:right="-77"/>
            </w:pPr>
            <w:r>
              <w:t>13</w:t>
            </w:r>
          </w:p>
        </w:tc>
        <w:tc>
          <w:tcPr>
            <w:tcW w:w="2059" w:type="dxa"/>
          </w:tcPr>
          <w:p w14:paraId="66C43712" w14:textId="77777777" w:rsidR="00C17069" w:rsidRPr="00242212" w:rsidRDefault="00C17069" w:rsidP="00B811E3">
            <w:r>
              <w:t>Figure 1</w:t>
            </w:r>
          </w:p>
        </w:tc>
        <w:tc>
          <w:tcPr>
            <w:tcW w:w="3328" w:type="dxa"/>
          </w:tcPr>
          <w:p w14:paraId="1081AA86" w14:textId="77777777" w:rsidR="00C17069" w:rsidRPr="00242212" w:rsidRDefault="00C17069" w:rsidP="00B811E3">
            <w:r>
              <w:t xml:space="preserve">DOE 2014 efficacy curves are supposed to show lamp </w:t>
            </w:r>
            <w:proofErr w:type="spellStart"/>
            <w:r>
              <w:t>effy</w:t>
            </w:r>
            <w:proofErr w:type="spellEnd"/>
            <w:r>
              <w:t xml:space="preserve"> (system) but rather seems to be reflect the LED at optimal </w:t>
            </w:r>
            <w:proofErr w:type="gramStart"/>
            <w:r>
              <w:t>T(</w:t>
            </w:r>
            <w:proofErr w:type="gramEnd"/>
            <w:r>
              <w:t>j). The DOE luminaire should outperform lamps (better heat dissipation)</w:t>
            </w:r>
          </w:p>
        </w:tc>
        <w:tc>
          <w:tcPr>
            <w:tcW w:w="3328" w:type="dxa"/>
          </w:tcPr>
          <w:p w14:paraId="59778941" w14:textId="77777777" w:rsidR="00C17069" w:rsidRPr="00242212" w:rsidRDefault="00C17069" w:rsidP="00B811E3">
            <w:pPr>
              <w:ind w:right="0"/>
            </w:pPr>
          </w:p>
        </w:tc>
        <w:tc>
          <w:tcPr>
            <w:tcW w:w="3329" w:type="dxa"/>
          </w:tcPr>
          <w:p w14:paraId="59D973C1" w14:textId="77777777" w:rsidR="00C17069" w:rsidRPr="00242212" w:rsidRDefault="00C17069" w:rsidP="00B811E3"/>
        </w:tc>
      </w:tr>
      <w:tr w:rsidR="00C17069" w:rsidRPr="005D1C78" w14:paraId="5026C12B" w14:textId="77777777" w:rsidTr="00B811E3">
        <w:trPr>
          <w:trHeight w:val="1134"/>
        </w:trPr>
        <w:tc>
          <w:tcPr>
            <w:tcW w:w="846" w:type="dxa"/>
          </w:tcPr>
          <w:p w14:paraId="10D66BF4" w14:textId="77777777" w:rsidR="00C17069" w:rsidRDefault="00C17069" w:rsidP="00B811E3">
            <w:pPr>
              <w:ind w:right="0"/>
            </w:pPr>
            <w:r>
              <w:t>4</w:t>
            </w:r>
          </w:p>
        </w:tc>
        <w:tc>
          <w:tcPr>
            <w:tcW w:w="992" w:type="dxa"/>
          </w:tcPr>
          <w:p w14:paraId="0CF818EE" w14:textId="77777777" w:rsidR="00C17069" w:rsidRDefault="00C17069" w:rsidP="00B811E3">
            <w:pPr>
              <w:ind w:right="0"/>
              <w:rPr>
                <w:highlight w:val="yellow"/>
              </w:rPr>
            </w:pPr>
            <w:r>
              <w:t>5.9.2.</w:t>
            </w:r>
          </w:p>
        </w:tc>
        <w:tc>
          <w:tcPr>
            <w:tcW w:w="992" w:type="dxa"/>
          </w:tcPr>
          <w:p w14:paraId="24E11929" w14:textId="77777777" w:rsidR="00C17069" w:rsidRPr="00AD5C4A" w:rsidRDefault="00C17069" w:rsidP="00B811E3">
            <w:pPr>
              <w:ind w:right="0"/>
            </w:pPr>
            <w:r w:rsidRPr="00C17069">
              <w:t>106</w:t>
            </w:r>
          </w:p>
        </w:tc>
        <w:tc>
          <w:tcPr>
            <w:tcW w:w="2059" w:type="dxa"/>
          </w:tcPr>
          <w:p w14:paraId="6A8F044C" w14:textId="77777777" w:rsidR="00C17069" w:rsidRDefault="00C17069" w:rsidP="00B811E3">
            <w:pPr>
              <w:ind w:right="0"/>
            </w:pPr>
            <w:r>
              <w:t xml:space="preserve">Sub 1 </w:t>
            </w:r>
          </w:p>
        </w:tc>
        <w:tc>
          <w:tcPr>
            <w:tcW w:w="3328" w:type="dxa"/>
            <w:shd w:val="clear" w:color="auto" w:fill="auto"/>
          </w:tcPr>
          <w:p w14:paraId="0BA4BF9D" w14:textId="77777777" w:rsidR="00C17069" w:rsidRDefault="00C17069" w:rsidP="00B811E3">
            <w:pPr>
              <w:ind w:right="0"/>
            </w:pPr>
            <w:r w:rsidRPr="1E29057C">
              <w:rPr>
                <w:rFonts w:eastAsia="Calibri"/>
              </w:rPr>
              <w:t xml:space="preserve"> </w:t>
            </w:r>
            <w:r>
              <w:rPr>
                <w:rFonts w:eastAsia="Calibri"/>
              </w:rPr>
              <w:t>The impact of replacing class C by class B halogen “will be neglected”: this is not justified, pending the proof that LED 12V spots are adequate replacement, see next comment</w:t>
            </w:r>
          </w:p>
        </w:tc>
        <w:tc>
          <w:tcPr>
            <w:tcW w:w="3328" w:type="dxa"/>
          </w:tcPr>
          <w:p w14:paraId="4A57A202" w14:textId="77777777" w:rsidR="00C17069" w:rsidRPr="005D1C78" w:rsidRDefault="00C17069" w:rsidP="00B811E3">
            <w:pPr>
              <w:ind w:right="0"/>
            </w:pPr>
          </w:p>
        </w:tc>
        <w:tc>
          <w:tcPr>
            <w:tcW w:w="3329" w:type="dxa"/>
          </w:tcPr>
          <w:p w14:paraId="1EEEF481" w14:textId="77777777" w:rsidR="00C17069" w:rsidRPr="005D1C78" w:rsidRDefault="00C17069" w:rsidP="00B811E3"/>
        </w:tc>
      </w:tr>
      <w:tr w:rsidR="00C17069" w:rsidRPr="005D1C78" w14:paraId="41D7598B" w14:textId="77777777" w:rsidTr="00B811E3">
        <w:trPr>
          <w:trHeight w:val="1134"/>
        </w:trPr>
        <w:tc>
          <w:tcPr>
            <w:tcW w:w="846" w:type="dxa"/>
          </w:tcPr>
          <w:p w14:paraId="79CD7352" w14:textId="77777777" w:rsidR="00C17069" w:rsidRPr="002E6D23" w:rsidRDefault="00C17069" w:rsidP="00B811E3">
            <w:pPr>
              <w:ind w:right="0"/>
            </w:pPr>
            <w:r>
              <w:t>4</w:t>
            </w:r>
          </w:p>
        </w:tc>
        <w:tc>
          <w:tcPr>
            <w:tcW w:w="992" w:type="dxa"/>
          </w:tcPr>
          <w:p w14:paraId="59CE15C9" w14:textId="77777777" w:rsidR="00C17069" w:rsidRPr="00730E9B" w:rsidRDefault="00C17069" w:rsidP="00B811E3">
            <w:pPr>
              <w:ind w:right="0"/>
            </w:pPr>
            <w:r w:rsidRPr="00730E9B">
              <w:t>Par 5.9.3.</w:t>
            </w:r>
          </w:p>
        </w:tc>
        <w:tc>
          <w:tcPr>
            <w:tcW w:w="992" w:type="dxa"/>
          </w:tcPr>
          <w:p w14:paraId="5226A9BE" w14:textId="77777777" w:rsidR="00C17069" w:rsidRPr="00730E9B" w:rsidRDefault="00C17069" w:rsidP="00B811E3">
            <w:pPr>
              <w:ind w:right="0"/>
            </w:pPr>
            <w:r w:rsidRPr="00730E9B">
              <w:t>107</w:t>
            </w:r>
          </w:p>
        </w:tc>
        <w:tc>
          <w:tcPr>
            <w:tcW w:w="2059" w:type="dxa"/>
          </w:tcPr>
          <w:p w14:paraId="304AC32E" w14:textId="77777777" w:rsidR="00C17069" w:rsidRDefault="00C17069" w:rsidP="00B811E3">
            <w:pPr>
              <w:ind w:right="0"/>
            </w:pPr>
            <w:r>
              <w:t xml:space="preserve">Halogen LV </w:t>
            </w:r>
            <w:proofErr w:type="spellStart"/>
            <w:r>
              <w:t>refl</w:t>
            </w:r>
            <w:proofErr w:type="spellEnd"/>
          </w:p>
          <w:p w14:paraId="3F2E776E" w14:textId="77777777" w:rsidR="00C17069" w:rsidRDefault="00C17069" w:rsidP="00B811E3">
            <w:pPr>
              <w:ind w:right="0"/>
            </w:pPr>
          </w:p>
        </w:tc>
        <w:tc>
          <w:tcPr>
            <w:tcW w:w="3328" w:type="dxa"/>
            <w:shd w:val="clear" w:color="auto" w:fill="auto"/>
          </w:tcPr>
          <w:p w14:paraId="74A887E1" w14:textId="77777777" w:rsidR="00C17069" w:rsidRDefault="00C17069" w:rsidP="00B811E3">
            <w:pPr>
              <w:ind w:right="0"/>
            </w:pPr>
            <w:r>
              <w:t>It is too easily assumed that LED alternatives are compatible to existing halogen transformers and dimmers. Tests reveal several deficiencies</w:t>
            </w:r>
          </w:p>
          <w:p w14:paraId="0071C98A" w14:textId="77777777" w:rsidR="00C17069" w:rsidRPr="00652FB0" w:rsidRDefault="00C17069" w:rsidP="00B811E3">
            <w:pPr>
              <w:ind w:right="0"/>
            </w:pPr>
          </w:p>
        </w:tc>
        <w:tc>
          <w:tcPr>
            <w:tcW w:w="3328" w:type="dxa"/>
          </w:tcPr>
          <w:p w14:paraId="284D5DEB" w14:textId="77777777" w:rsidR="00C17069" w:rsidRPr="005D1C78" w:rsidRDefault="00C17069" w:rsidP="00B811E3">
            <w:pPr>
              <w:ind w:right="0"/>
            </w:pPr>
          </w:p>
        </w:tc>
        <w:tc>
          <w:tcPr>
            <w:tcW w:w="3329" w:type="dxa"/>
          </w:tcPr>
          <w:p w14:paraId="3B18CF59" w14:textId="77777777" w:rsidR="00C17069" w:rsidRPr="005D1C78" w:rsidRDefault="00C17069" w:rsidP="00B811E3"/>
        </w:tc>
      </w:tr>
      <w:tr w:rsidR="00C17069" w:rsidRPr="005D1C78" w14:paraId="72FE81A8" w14:textId="77777777" w:rsidTr="00B811E3">
        <w:trPr>
          <w:trHeight w:val="623"/>
        </w:trPr>
        <w:tc>
          <w:tcPr>
            <w:tcW w:w="846" w:type="dxa"/>
          </w:tcPr>
          <w:p w14:paraId="7D93014F" w14:textId="77777777" w:rsidR="00C17069" w:rsidRPr="002E6D23" w:rsidRDefault="00C17069" w:rsidP="00B811E3">
            <w:pPr>
              <w:ind w:right="0"/>
            </w:pPr>
            <w:r>
              <w:t>4</w:t>
            </w:r>
          </w:p>
        </w:tc>
        <w:tc>
          <w:tcPr>
            <w:tcW w:w="992" w:type="dxa"/>
          </w:tcPr>
          <w:p w14:paraId="0BA62F69" w14:textId="77777777" w:rsidR="00C17069" w:rsidRPr="00730E9B" w:rsidRDefault="00C17069" w:rsidP="00B811E3">
            <w:pPr>
              <w:ind w:right="0"/>
            </w:pPr>
            <w:r w:rsidRPr="00730E9B">
              <w:t>5.10.3</w:t>
            </w:r>
          </w:p>
        </w:tc>
        <w:tc>
          <w:tcPr>
            <w:tcW w:w="992" w:type="dxa"/>
          </w:tcPr>
          <w:p w14:paraId="01757E6E" w14:textId="77777777" w:rsidR="00C17069" w:rsidRPr="00730E9B" w:rsidRDefault="00C17069" w:rsidP="00B811E3">
            <w:pPr>
              <w:ind w:right="0"/>
            </w:pPr>
            <w:r w:rsidRPr="00730E9B">
              <w:t>111</w:t>
            </w:r>
          </w:p>
        </w:tc>
        <w:tc>
          <w:tcPr>
            <w:tcW w:w="2059" w:type="dxa"/>
          </w:tcPr>
          <w:p w14:paraId="137FE6AE" w14:textId="77777777" w:rsidR="00C17069" w:rsidRDefault="00C17069" w:rsidP="00B811E3">
            <w:pPr>
              <w:ind w:right="0"/>
            </w:pPr>
            <w:r>
              <w:t>LV Capsules, table 33</w:t>
            </w:r>
          </w:p>
        </w:tc>
        <w:tc>
          <w:tcPr>
            <w:tcW w:w="3328" w:type="dxa"/>
          </w:tcPr>
          <w:p w14:paraId="2CC154D7" w14:textId="77777777" w:rsidR="00C17069" w:rsidRPr="00A212B5" w:rsidRDefault="00C17069" w:rsidP="00B811E3">
            <w:pPr>
              <w:ind w:right="0"/>
              <w:rPr>
                <w:rFonts w:eastAsia="Calibri"/>
              </w:rPr>
            </w:pPr>
            <w:r>
              <w:rPr>
                <w:rFonts w:eastAsia="Calibri"/>
              </w:rPr>
              <w:t>Dimming is missing as a key feature; LV halogen in decorative luminaires are often dimmed</w:t>
            </w:r>
          </w:p>
        </w:tc>
        <w:tc>
          <w:tcPr>
            <w:tcW w:w="3328" w:type="dxa"/>
          </w:tcPr>
          <w:p w14:paraId="0FE080DB" w14:textId="77777777" w:rsidR="00C17069" w:rsidRPr="005D1C78" w:rsidRDefault="00C17069" w:rsidP="00B811E3">
            <w:pPr>
              <w:ind w:right="0"/>
            </w:pPr>
          </w:p>
        </w:tc>
        <w:tc>
          <w:tcPr>
            <w:tcW w:w="3329" w:type="dxa"/>
          </w:tcPr>
          <w:p w14:paraId="32BC0AFE" w14:textId="77777777" w:rsidR="00C17069" w:rsidRPr="005D1C78" w:rsidRDefault="00C17069" w:rsidP="00B811E3"/>
        </w:tc>
      </w:tr>
      <w:tr w:rsidR="00C17069" w:rsidRPr="005D1C78" w14:paraId="3B44C1CA" w14:textId="77777777" w:rsidTr="00B811E3">
        <w:trPr>
          <w:trHeight w:val="623"/>
        </w:trPr>
        <w:tc>
          <w:tcPr>
            <w:tcW w:w="846" w:type="dxa"/>
          </w:tcPr>
          <w:p w14:paraId="28C10840" w14:textId="77777777" w:rsidR="00C17069" w:rsidRPr="002E6D23" w:rsidRDefault="00C17069" w:rsidP="00B811E3">
            <w:pPr>
              <w:ind w:right="0"/>
            </w:pPr>
            <w:r>
              <w:t>4</w:t>
            </w:r>
          </w:p>
        </w:tc>
        <w:tc>
          <w:tcPr>
            <w:tcW w:w="992" w:type="dxa"/>
          </w:tcPr>
          <w:p w14:paraId="106644DD" w14:textId="77777777" w:rsidR="00C17069" w:rsidRPr="00730E9B" w:rsidRDefault="00C17069" w:rsidP="00B811E3">
            <w:pPr>
              <w:ind w:right="0"/>
            </w:pPr>
            <w:r w:rsidRPr="00730E9B">
              <w:t>5.10.3</w:t>
            </w:r>
          </w:p>
        </w:tc>
        <w:tc>
          <w:tcPr>
            <w:tcW w:w="992" w:type="dxa"/>
          </w:tcPr>
          <w:p w14:paraId="3E6C7BF2" w14:textId="77777777" w:rsidR="00C17069" w:rsidRPr="00730E9B" w:rsidRDefault="00C17069" w:rsidP="00B811E3">
            <w:pPr>
              <w:ind w:right="0"/>
            </w:pPr>
            <w:r w:rsidRPr="00730E9B">
              <w:t>111</w:t>
            </w:r>
          </w:p>
        </w:tc>
        <w:tc>
          <w:tcPr>
            <w:tcW w:w="2059" w:type="dxa"/>
          </w:tcPr>
          <w:p w14:paraId="62DBCC74" w14:textId="77777777" w:rsidR="00C17069" w:rsidRDefault="00C17069" w:rsidP="00B811E3">
            <w:pPr>
              <w:ind w:right="0"/>
            </w:pPr>
            <w:r>
              <w:t>LV Capsules, table 33</w:t>
            </w:r>
          </w:p>
        </w:tc>
        <w:tc>
          <w:tcPr>
            <w:tcW w:w="3328" w:type="dxa"/>
          </w:tcPr>
          <w:p w14:paraId="253F5A4E" w14:textId="77777777" w:rsidR="00C17069" w:rsidRPr="1E29057C" w:rsidRDefault="00C17069" w:rsidP="00B811E3">
            <w:pPr>
              <w:ind w:right="0"/>
              <w:rPr>
                <w:rFonts w:eastAsia="Calibri"/>
              </w:rPr>
            </w:pPr>
            <w:r>
              <w:rPr>
                <w:rFonts w:eastAsia="Calibri"/>
              </w:rPr>
              <w:t>same comments apply as for LED LV spots on gear compatibility issues</w:t>
            </w:r>
          </w:p>
        </w:tc>
        <w:tc>
          <w:tcPr>
            <w:tcW w:w="3328" w:type="dxa"/>
          </w:tcPr>
          <w:p w14:paraId="0A7825DA" w14:textId="77777777" w:rsidR="00C17069" w:rsidRPr="005D1C78" w:rsidRDefault="00C17069" w:rsidP="00B811E3">
            <w:pPr>
              <w:ind w:right="0"/>
            </w:pPr>
          </w:p>
        </w:tc>
        <w:tc>
          <w:tcPr>
            <w:tcW w:w="3329" w:type="dxa"/>
          </w:tcPr>
          <w:p w14:paraId="3E50C28F" w14:textId="77777777" w:rsidR="00C17069" w:rsidRPr="005D1C78" w:rsidRDefault="00C17069" w:rsidP="00B811E3"/>
        </w:tc>
      </w:tr>
      <w:tr w:rsidR="00C17069" w:rsidRPr="005D1C78" w14:paraId="0D051477" w14:textId="77777777" w:rsidTr="00B811E3">
        <w:trPr>
          <w:trHeight w:val="986"/>
        </w:trPr>
        <w:tc>
          <w:tcPr>
            <w:tcW w:w="846" w:type="dxa"/>
          </w:tcPr>
          <w:p w14:paraId="57CB340E" w14:textId="77777777" w:rsidR="00C17069" w:rsidRPr="002E6D23" w:rsidRDefault="00C17069" w:rsidP="00B811E3">
            <w:pPr>
              <w:ind w:right="0"/>
            </w:pPr>
            <w:r>
              <w:t>4</w:t>
            </w:r>
          </w:p>
        </w:tc>
        <w:tc>
          <w:tcPr>
            <w:tcW w:w="992" w:type="dxa"/>
          </w:tcPr>
          <w:p w14:paraId="2998D67A" w14:textId="77777777" w:rsidR="00C17069" w:rsidRPr="00730E9B" w:rsidRDefault="00C17069" w:rsidP="00B811E3">
            <w:pPr>
              <w:ind w:right="0"/>
            </w:pPr>
            <w:r w:rsidRPr="00730E9B">
              <w:t>5.10.3</w:t>
            </w:r>
          </w:p>
        </w:tc>
        <w:tc>
          <w:tcPr>
            <w:tcW w:w="992" w:type="dxa"/>
          </w:tcPr>
          <w:p w14:paraId="6768D48B" w14:textId="77777777" w:rsidR="00C17069" w:rsidRPr="00730E9B" w:rsidRDefault="00C17069" w:rsidP="00B811E3">
            <w:pPr>
              <w:ind w:right="0"/>
            </w:pPr>
            <w:r w:rsidRPr="00730E9B">
              <w:t>110</w:t>
            </w:r>
          </w:p>
        </w:tc>
        <w:tc>
          <w:tcPr>
            <w:tcW w:w="2059" w:type="dxa"/>
          </w:tcPr>
          <w:p w14:paraId="3BAECA9D" w14:textId="77777777" w:rsidR="00C17069" w:rsidRDefault="00C17069" w:rsidP="00B811E3">
            <w:pPr>
              <w:ind w:right="0"/>
            </w:pPr>
            <w:r>
              <w:t>LV capsules</w:t>
            </w:r>
          </w:p>
        </w:tc>
        <w:tc>
          <w:tcPr>
            <w:tcW w:w="3328" w:type="dxa"/>
          </w:tcPr>
          <w:p w14:paraId="3B9FB503" w14:textId="77777777" w:rsidR="00C17069" w:rsidRPr="1E29057C" w:rsidRDefault="00C17069" w:rsidP="00B811E3">
            <w:pPr>
              <w:ind w:right="0"/>
              <w:rPr>
                <w:rFonts w:eastAsia="Calibri"/>
              </w:rPr>
            </w:pPr>
            <w:r>
              <w:rPr>
                <w:rFonts w:eastAsia="Calibri"/>
              </w:rPr>
              <w:t xml:space="preserve">The potential fit issue for LED alternatives is underrated for example in common, flat under-cabinet spots </w:t>
            </w:r>
          </w:p>
        </w:tc>
        <w:tc>
          <w:tcPr>
            <w:tcW w:w="3328" w:type="dxa"/>
          </w:tcPr>
          <w:p w14:paraId="78F014F8" w14:textId="77777777" w:rsidR="00C17069" w:rsidRPr="005D1C78" w:rsidRDefault="00C17069" w:rsidP="00B811E3">
            <w:pPr>
              <w:ind w:right="0"/>
            </w:pPr>
          </w:p>
        </w:tc>
        <w:tc>
          <w:tcPr>
            <w:tcW w:w="3329" w:type="dxa"/>
          </w:tcPr>
          <w:p w14:paraId="2D6168FA" w14:textId="77777777" w:rsidR="00C17069" w:rsidRPr="005D1C78" w:rsidRDefault="00C17069" w:rsidP="00B811E3"/>
        </w:tc>
      </w:tr>
      <w:tr w:rsidR="00C17069" w:rsidRPr="005D1C78" w14:paraId="207F79E7" w14:textId="77777777" w:rsidTr="00B811E3">
        <w:trPr>
          <w:trHeight w:val="406"/>
        </w:trPr>
        <w:tc>
          <w:tcPr>
            <w:tcW w:w="846" w:type="dxa"/>
          </w:tcPr>
          <w:p w14:paraId="16EEE450" w14:textId="77777777" w:rsidR="00C17069" w:rsidRPr="002E6D23" w:rsidRDefault="00C17069" w:rsidP="00B811E3">
            <w:pPr>
              <w:ind w:right="0"/>
            </w:pPr>
            <w:r>
              <w:lastRenderedPageBreak/>
              <w:t>4</w:t>
            </w:r>
          </w:p>
        </w:tc>
        <w:tc>
          <w:tcPr>
            <w:tcW w:w="992" w:type="dxa"/>
          </w:tcPr>
          <w:p w14:paraId="65B984B0" w14:textId="77777777" w:rsidR="00C17069" w:rsidRPr="00730E9B" w:rsidRDefault="00C17069" w:rsidP="00B811E3">
            <w:pPr>
              <w:ind w:right="0"/>
            </w:pPr>
            <w:r w:rsidRPr="00730E9B">
              <w:t>5.11.3</w:t>
            </w:r>
          </w:p>
        </w:tc>
        <w:tc>
          <w:tcPr>
            <w:tcW w:w="992" w:type="dxa"/>
          </w:tcPr>
          <w:p w14:paraId="1924338C" w14:textId="77777777" w:rsidR="00C17069" w:rsidRPr="00730E9B" w:rsidRDefault="00C17069" w:rsidP="00B811E3">
            <w:pPr>
              <w:ind w:right="0"/>
            </w:pPr>
            <w:r w:rsidRPr="00730E9B">
              <w:t>113</w:t>
            </w:r>
          </w:p>
        </w:tc>
        <w:tc>
          <w:tcPr>
            <w:tcW w:w="2059" w:type="dxa"/>
          </w:tcPr>
          <w:p w14:paraId="1CDA5302" w14:textId="77777777" w:rsidR="00C17069" w:rsidRDefault="00C17069" w:rsidP="00B811E3">
            <w:pPr>
              <w:ind w:right="0"/>
            </w:pPr>
            <w:r>
              <w:t>MV capsules</w:t>
            </w:r>
          </w:p>
        </w:tc>
        <w:tc>
          <w:tcPr>
            <w:tcW w:w="3328" w:type="dxa"/>
          </w:tcPr>
          <w:p w14:paraId="7EAF42B3" w14:textId="77777777" w:rsidR="00C17069" w:rsidRPr="1E29057C" w:rsidRDefault="00C17069" w:rsidP="00B811E3">
            <w:pPr>
              <w:ind w:right="0"/>
              <w:rPr>
                <w:rFonts w:eastAsia="Calibri"/>
              </w:rPr>
            </w:pPr>
            <w:r>
              <w:rPr>
                <w:rFonts w:eastAsia="Calibri"/>
              </w:rPr>
              <w:t>Same comment as previous</w:t>
            </w:r>
          </w:p>
        </w:tc>
        <w:tc>
          <w:tcPr>
            <w:tcW w:w="3328" w:type="dxa"/>
          </w:tcPr>
          <w:p w14:paraId="249EB81A" w14:textId="77777777" w:rsidR="00C17069" w:rsidRPr="005D1C78" w:rsidRDefault="00C17069" w:rsidP="00B811E3">
            <w:pPr>
              <w:ind w:right="0"/>
            </w:pPr>
          </w:p>
        </w:tc>
        <w:tc>
          <w:tcPr>
            <w:tcW w:w="3329" w:type="dxa"/>
          </w:tcPr>
          <w:p w14:paraId="780986A6" w14:textId="77777777" w:rsidR="00C17069" w:rsidRPr="005D1C78" w:rsidRDefault="00C17069" w:rsidP="00B811E3"/>
        </w:tc>
      </w:tr>
      <w:tr w:rsidR="00C17069" w:rsidRPr="005D1C78" w14:paraId="22891126" w14:textId="77777777" w:rsidTr="00B811E3">
        <w:trPr>
          <w:trHeight w:val="1134"/>
        </w:trPr>
        <w:tc>
          <w:tcPr>
            <w:tcW w:w="846" w:type="dxa"/>
          </w:tcPr>
          <w:p w14:paraId="55746676" w14:textId="77777777" w:rsidR="00C17069" w:rsidRPr="002E6D23" w:rsidRDefault="00C17069" w:rsidP="00B811E3">
            <w:pPr>
              <w:ind w:right="0"/>
            </w:pPr>
            <w:r>
              <w:t>4</w:t>
            </w:r>
          </w:p>
        </w:tc>
        <w:tc>
          <w:tcPr>
            <w:tcW w:w="992" w:type="dxa"/>
          </w:tcPr>
          <w:p w14:paraId="6D8BAB02" w14:textId="77777777" w:rsidR="00C17069" w:rsidRPr="00730E9B" w:rsidRDefault="00C17069" w:rsidP="00B811E3">
            <w:pPr>
              <w:ind w:right="0"/>
            </w:pPr>
            <w:r w:rsidRPr="00730E9B">
              <w:t>5.11.3</w:t>
            </w:r>
          </w:p>
        </w:tc>
        <w:tc>
          <w:tcPr>
            <w:tcW w:w="992" w:type="dxa"/>
          </w:tcPr>
          <w:p w14:paraId="222C6C61" w14:textId="77777777" w:rsidR="00C17069" w:rsidRPr="00730E9B" w:rsidRDefault="00C17069" w:rsidP="00B811E3">
            <w:pPr>
              <w:ind w:right="0"/>
            </w:pPr>
            <w:r w:rsidRPr="00730E9B">
              <w:t>113</w:t>
            </w:r>
          </w:p>
        </w:tc>
        <w:tc>
          <w:tcPr>
            <w:tcW w:w="2059" w:type="dxa"/>
          </w:tcPr>
          <w:p w14:paraId="1D469A6F" w14:textId="77777777" w:rsidR="00C17069" w:rsidRDefault="00C17069" w:rsidP="00B811E3">
            <w:pPr>
              <w:ind w:right="0"/>
            </w:pPr>
            <w:r>
              <w:t>MV capsules, table 35</w:t>
            </w:r>
          </w:p>
        </w:tc>
        <w:tc>
          <w:tcPr>
            <w:tcW w:w="3328" w:type="dxa"/>
          </w:tcPr>
          <w:p w14:paraId="389F5BF5" w14:textId="77777777" w:rsidR="00C17069" w:rsidRPr="1E29057C" w:rsidRDefault="00C17069" w:rsidP="00B811E3">
            <w:pPr>
              <w:ind w:right="0"/>
              <w:rPr>
                <w:rFonts w:eastAsia="Calibri"/>
              </w:rPr>
            </w:pPr>
            <w:r>
              <w:rPr>
                <w:rFonts w:eastAsia="Calibri"/>
              </w:rPr>
              <w:t>Dimming is missing as a key feature; MV G9 halogen are often dimmed</w:t>
            </w:r>
          </w:p>
        </w:tc>
        <w:tc>
          <w:tcPr>
            <w:tcW w:w="3328" w:type="dxa"/>
          </w:tcPr>
          <w:p w14:paraId="5497925B" w14:textId="77777777" w:rsidR="00C17069" w:rsidRPr="005D1C78" w:rsidRDefault="00C17069" w:rsidP="00B811E3">
            <w:pPr>
              <w:ind w:right="0"/>
            </w:pPr>
          </w:p>
        </w:tc>
        <w:tc>
          <w:tcPr>
            <w:tcW w:w="3329" w:type="dxa"/>
          </w:tcPr>
          <w:p w14:paraId="55D68A6B" w14:textId="77777777" w:rsidR="00C17069" w:rsidRPr="005D1C78" w:rsidRDefault="00C17069" w:rsidP="00B811E3"/>
        </w:tc>
      </w:tr>
      <w:tr w:rsidR="00C17069" w:rsidRPr="005D1C78" w14:paraId="0419903C" w14:textId="77777777" w:rsidTr="00B811E3">
        <w:trPr>
          <w:trHeight w:val="1134"/>
        </w:trPr>
        <w:tc>
          <w:tcPr>
            <w:tcW w:w="846" w:type="dxa"/>
          </w:tcPr>
          <w:p w14:paraId="7F63B651" w14:textId="77777777" w:rsidR="00C17069" w:rsidRPr="002E6D23" w:rsidRDefault="00C17069" w:rsidP="00B811E3">
            <w:pPr>
              <w:ind w:right="0"/>
            </w:pPr>
            <w:r>
              <w:t>4</w:t>
            </w:r>
          </w:p>
        </w:tc>
        <w:tc>
          <w:tcPr>
            <w:tcW w:w="992" w:type="dxa"/>
          </w:tcPr>
          <w:p w14:paraId="2F5647A0" w14:textId="77777777" w:rsidR="00C17069" w:rsidRPr="00730E9B" w:rsidRDefault="00C17069" w:rsidP="00B811E3">
            <w:pPr>
              <w:ind w:right="0"/>
            </w:pPr>
            <w:r w:rsidRPr="00730E9B">
              <w:t>5.12.3</w:t>
            </w:r>
          </w:p>
        </w:tc>
        <w:tc>
          <w:tcPr>
            <w:tcW w:w="992" w:type="dxa"/>
          </w:tcPr>
          <w:p w14:paraId="1C0684E4" w14:textId="77777777" w:rsidR="00C17069" w:rsidRPr="00730E9B" w:rsidRDefault="00C17069" w:rsidP="00B811E3">
            <w:pPr>
              <w:ind w:right="0"/>
            </w:pPr>
            <w:r w:rsidRPr="00730E9B">
              <w:t>117</w:t>
            </w:r>
          </w:p>
        </w:tc>
        <w:tc>
          <w:tcPr>
            <w:tcW w:w="2059" w:type="dxa"/>
          </w:tcPr>
          <w:p w14:paraId="4124E868" w14:textId="77777777" w:rsidR="00C17069" w:rsidRDefault="00C17069" w:rsidP="00B811E3">
            <w:pPr>
              <w:ind w:right="0"/>
            </w:pPr>
            <w:r>
              <w:t>MV capsules, table 37</w:t>
            </w:r>
          </w:p>
        </w:tc>
        <w:tc>
          <w:tcPr>
            <w:tcW w:w="3328" w:type="dxa"/>
          </w:tcPr>
          <w:p w14:paraId="3FF4C5DB" w14:textId="77777777" w:rsidR="00C17069" w:rsidRPr="1E29057C" w:rsidRDefault="00C17069" w:rsidP="00B811E3">
            <w:pPr>
              <w:ind w:right="0"/>
              <w:rPr>
                <w:rFonts w:eastAsia="Calibri"/>
              </w:rPr>
            </w:pPr>
            <w:r>
              <w:rPr>
                <w:rFonts w:eastAsia="Calibri"/>
              </w:rPr>
              <w:t>Dimming is missing as a key feature; MV G9 halogen are often dimmed</w:t>
            </w:r>
          </w:p>
        </w:tc>
        <w:tc>
          <w:tcPr>
            <w:tcW w:w="3328" w:type="dxa"/>
          </w:tcPr>
          <w:p w14:paraId="2C5747DD" w14:textId="77777777" w:rsidR="00C17069" w:rsidRPr="005D1C78" w:rsidRDefault="00C17069" w:rsidP="00B811E3">
            <w:pPr>
              <w:ind w:right="0"/>
            </w:pPr>
          </w:p>
        </w:tc>
        <w:tc>
          <w:tcPr>
            <w:tcW w:w="3329" w:type="dxa"/>
          </w:tcPr>
          <w:p w14:paraId="2B6CB2F1" w14:textId="77777777" w:rsidR="00C17069" w:rsidRPr="005D1C78" w:rsidRDefault="00C17069" w:rsidP="00B811E3"/>
        </w:tc>
      </w:tr>
      <w:tr w:rsidR="00C17069" w:rsidRPr="005D1C78" w14:paraId="0F00149E" w14:textId="77777777" w:rsidTr="00B811E3">
        <w:trPr>
          <w:trHeight w:val="1134"/>
        </w:trPr>
        <w:tc>
          <w:tcPr>
            <w:tcW w:w="846" w:type="dxa"/>
          </w:tcPr>
          <w:p w14:paraId="63BF089D" w14:textId="77777777" w:rsidR="00C17069" w:rsidRDefault="00C17069" w:rsidP="00B811E3">
            <w:pPr>
              <w:ind w:right="0"/>
            </w:pPr>
            <w:r>
              <w:t>4</w:t>
            </w:r>
          </w:p>
        </w:tc>
        <w:tc>
          <w:tcPr>
            <w:tcW w:w="992" w:type="dxa"/>
          </w:tcPr>
          <w:p w14:paraId="32BA5F6E" w14:textId="77777777" w:rsidR="00C17069" w:rsidRPr="00730E9B" w:rsidRDefault="00C17069" w:rsidP="00B811E3">
            <w:pPr>
              <w:ind w:right="0"/>
            </w:pPr>
            <w:r>
              <w:t>5.13.3</w:t>
            </w:r>
          </w:p>
        </w:tc>
        <w:tc>
          <w:tcPr>
            <w:tcW w:w="992" w:type="dxa"/>
          </w:tcPr>
          <w:p w14:paraId="32EBC41F" w14:textId="77777777" w:rsidR="00C17069" w:rsidRPr="00730E9B" w:rsidRDefault="00C17069" w:rsidP="00B811E3">
            <w:pPr>
              <w:ind w:right="0"/>
            </w:pPr>
            <w:r>
              <w:t>125</w:t>
            </w:r>
          </w:p>
        </w:tc>
        <w:tc>
          <w:tcPr>
            <w:tcW w:w="2059" w:type="dxa"/>
          </w:tcPr>
          <w:p w14:paraId="19CFA5D7" w14:textId="77777777" w:rsidR="00C17069" w:rsidRDefault="00C17069" w:rsidP="00B811E3">
            <w:pPr>
              <w:ind w:right="0"/>
            </w:pPr>
            <w:r>
              <w:t>MV E, table 39</w:t>
            </w:r>
          </w:p>
        </w:tc>
        <w:tc>
          <w:tcPr>
            <w:tcW w:w="3328" w:type="dxa"/>
          </w:tcPr>
          <w:p w14:paraId="4E19F502" w14:textId="77777777" w:rsidR="00C17069" w:rsidRDefault="00C17069" w:rsidP="00B811E3">
            <w:pPr>
              <w:ind w:right="0"/>
              <w:rPr>
                <w:rFonts w:eastAsia="Calibri"/>
              </w:rPr>
            </w:pPr>
            <w:r>
              <w:rPr>
                <w:rFonts w:eastAsia="Calibri"/>
              </w:rPr>
              <w:t xml:space="preserve">“Declared </w:t>
            </w:r>
            <w:proofErr w:type="spellStart"/>
            <w:r>
              <w:rPr>
                <w:rFonts w:eastAsia="Calibri"/>
              </w:rPr>
              <w:t>dimmability</w:t>
            </w:r>
            <w:proofErr w:type="spellEnd"/>
            <w:r>
              <w:rPr>
                <w:rFonts w:eastAsia="Calibri"/>
              </w:rPr>
              <w:t>”  should not be taken for  granted, as reality often reveals compatibility issues with installed dimmers</w:t>
            </w:r>
          </w:p>
        </w:tc>
        <w:tc>
          <w:tcPr>
            <w:tcW w:w="3328" w:type="dxa"/>
          </w:tcPr>
          <w:p w14:paraId="54D927A4" w14:textId="77777777" w:rsidR="00C17069" w:rsidRPr="005D1C78" w:rsidRDefault="00C17069" w:rsidP="00B811E3">
            <w:pPr>
              <w:ind w:right="0"/>
            </w:pPr>
          </w:p>
        </w:tc>
        <w:tc>
          <w:tcPr>
            <w:tcW w:w="3329" w:type="dxa"/>
          </w:tcPr>
          <w:p w14:paraId="29D29738" w14:textId="77777777" w:rsidR="00C17069" w:rsidRPr="005D1C78" w:rsidRDefault="00C17069" w:rsidP="00B811E3"/>
        </w:tc>
      </w:tr>
    </w:tbl>
    <w:p w14:paraId="112399A3" w14:textId="77777777" w:rsidR="00C17069" w:rsidRPr="005D1C78" w:rsidRDefault="00C17069" w:rsidP="00C17069"/>
    <w:p w14:paraId="718A60D9" w14:textId="56649A90" w:rsidR="00C17069" w:rsidRDefault="00C17069">
      <w:pPr>
        <w:spacing w:after="200"/>
        <w:ind w:right="0"/>
      </w:pPr>
      <w:r>
        <w:br w:type="page"/>
      </w:r>
    </w:p>
    <w:p w14:paraId="49841D9D" w14:textId="77777777" w:rsidR="00C17069" w:rsidRPr="005D1C78" w:rsidRDefault="00C17069" w:rsidP="00C17069">
      <w:pPr>
        <w:pStyle w:val="Heading1"/>
        <w:spacing w:before="0"/>
        <w:jc w:val="center"/>
        <w:rPr>
          <w:rFonts w:ascii="Calibri" w:hAnsi="Calibri" w:cs="Calibri"/>
          <w:color w:val="4F81BD" w:themeColor="accent1"/>
          <w:sz w:val="44"/>
        </w:rPr>
      </w:pPr>
    </w:p>
    <w:p w14:paraId="6C70FEDA" w14:textId="77777777" w:rsidR="00C17069" w:rsidRPr="005D1C78" w:rsidRDefault="00C17069" w:rsidP="00C17069"/>
    <w:p w14:paraId="77962899" w14:textId="77777777" w:rsidR="00C17069" w:rsidRPr="005D1C78" w:rsidRDefault="00C17069" w:rsidP="00C17069"/>
    <w:tbl>
      <w:tblPr>
        <w:tblStyle w:val="TableGrid"/>
        <w:tblW w:w="5000" w:type="pct"/>
        <w:tblLayout w:type="fixed"/>
        <w:tblLook w:val="04E0" w:firstRow="1" w:lastRow="1" w:firstColumn="1" w:lastColumn="0" w:noHBand="0" w:noVBand="1"/>
      </w:tblPr>
      <w:tblGrid>
        <w:gridCol w:w="848"/>
        <w:gridCol w:w="994"/>
        <w:gridCol w:w="994"/>
        <w:gridCol w:w="2059"/>
        <w:gridCol w:w="3326"/>
        <w:gridCol w:w="3326"/>
        <w:gridCol w:w="3327"/>
      </w:tblGrid>
      <w:tr w:rsidR="00C17069" w:rsidRPr="005D1C78" w14:paraId="58E86D0F" w14:textId="77777777" w:rsidTr="00B811E3">
        <w:trPr>
          <w:cantSplit/>
          <w:tblHeader/>
        </w:trPr>
        <w:tc>
          <w:tcPr>
            <w:tcW w:w="858" w:type="dxa"/>
            <w:shd w:val="clear" w:color="auto" w:fill="DBE5F1" w:themeFill="accent1" w:themeFillTint="33"/>
          </w:tcPr>
          <w:p w14:paraId="56A06B25" w14:textId="77777777" w:rsidR="00C17069" w:rsidRPr="002E6D23" w:rsidRDefault="00C17069" w:rsidP="00B811E3">
            <w:pPr>
              <w:ind w:right="0"/>
              <w:rPr>
                <w:b/>
              </w:rPr>
            </w:pPr>
            <w:r w:rsidRPr="002E6D23">
              <w:rPr>
                <w:b/>
                <w:bCs/>
              </w:rPr>
              <w:t>Task        #</w:t>
            </w:r>
          </w:p>
        </w:tc>
        <w:tc>
          <w:tcPr>
            <w:tcW w:w="1007" w:type="dxa"/>
            <w:shd w:val="clear" w:color="auto" w:fill="DBE5F1" w:themeFill="accent1" w:themeFillTint="33"/>
          </w:tcPr>
          <w:p w14:paraId="633B4421" w14:textId="77777777" w:rsidR="00C17069" w:rsidRPr="005D1C78" w:rsidRDefault="00C17069" w:rsidP="00B811E3">
            <w:pPr>
              <w:ind w:right="0"/>
              <w:rPr>
                <w:b/>
              </w:rPr>
            </w:pPr>
            <w:r w:rsidRPr="1E29057C">
              <w:rPr>
                <w:b/>
                <w:bCs/>
              </w:rPr>
              <w:t>Section  #</w:t>
            </w:r>
          </w:p>
        </w:tc>
        <w:tc>
          <w:tcPr>
            <w:tcW w:w="1007" w:type="dxa"/>
            <w:shd w:val="clear" w:color="auto" w:fill="DBE5F1" w:themeFill="accent1" w:themeFillTint="33"/>
          </w:tcPr>
          <w:p w14:paraId="73B19015" w14:textId="77777777" w:rsidR="00C17069" w:rsidRPr="005D1C78" w:rsidRDefault="00C17069" w:rsidP="00B811E3">
            <w:pPr>
              <w:ind w:right="0"/>
              <w:rPr>
                <w:b/>
              </w:rPr>
            </w:pPr>
            <w:r w:rsidRPr="1E29057C">
              <w:rPr>
                <w:b/>
                <w:bCs/>
              </w:rPr>
              <w:t>Page       #</w:t>
            </w:r>
          </w:p>
        </w:tc>
        <w:tc>
          <w:tcPr>
            <w:tcW w:w="2090" w:type="dxa"/>
            <w:shd w:val="clear" w:color="auto" w:fill="DBE5F1" w:themeFill="accent1" w:themeFillTint="33"/>
          </w:tcPr>
          <w:p w14:paraId="7DF17D9F" w14:textId="77777777" w:rsidR="00C17069" w:rsidRPr="005D1C78" w:rsidRDefault="00C17069" w:rsidP="00B811E3">
            <w:pPr>
              <w:rPr>
                <w:b/>
              </w:rPr>
            </w:pPr>
            <w:r w:rsidRPr="005D1C78">
              <w:rPr>
                <w:b/>
              </w:rPr>
              <w:t>Topic</w:t>
            </w:r>
          </w:p>
        </w:tc>
        <w:tc>
          <w:tcPr>
            <w:tcW w:w="3379" w:type="dxa"/>
            <w:shd w:val="clear" w:color="auto" w:fill="DBE5F1" w:themeFill="accent1" w:themeFillTint="33"/>
          </w:tcPr>
          <w:p w14:paraId="346D30AD" w14:textId="77777777" w:rsidR="00C17069" w:rsidRPr="005D1C78" w:rsidRDefault="00C17069" w:rsidP="00B811E3">
            <w:pPr>
              <w:rPr>
                <w:b/>
              </w:rPr>
            </w:pPr>
            <w:r w:rsidRPr="005D1C78">
              <w:rPr>
                <w:b/>
              </w:rPr>
              <w:t>Comment</w:t>
            </w:r>
          </w:p>
        </w:tc>
        <w:tc>
          <w:tcPr>
            <w:tcW w:w="3379" w:type="dxa"/>
            <w:shd w:val="clear" w:color="auto" w:fill="DBE5F1" w:themeFill="accent1" w:themeFillTint="33"/>
          </w:tcPr>
          <w:p w14:paraId="5BF136AF" w14:textId="77777777" w:rsidR="00C17069" w:rsidRPr="005D1C78" w:rsidRDefault="00C17069" w:rsidP="00B811E3">
            <w:pPr>
              <w:rPr>
                <w:b/>
              </w:rPr>
            </w:pPr>
            <w:r w:rsidRPr="005D1C78">
              <w:rPr>
                <w:b/>
              </w:rPr>
              <w:t>Proposed change</w:t>
            </w:r>
          </w:p>
        </w:tc>
        <w:tc>
          <w:tcPr>
            <w:tcW w:w="3380" w:type="dxa"/>
            <w:shd w:val="clear" w:color="auto" w:fill="DBE5F1" w:themeFill="accent1" w:themeFillTint="33"/>
          </w:tcPr>
          <w:p w14:paraId="4FCBCF9C" w14:textId="77777777" w:rsidR="00C17069" w:rsidRPr="005D1C78" w:rsidRDefault="00C17069" w:rsidP="00B811E3">
            <w:pPr>
              <w:rPr>
                <w:b/>
              </w:rPr>
            </w:pPr>
          </w:p>
        </w:tc>
      </w:tr>
      <w:tr w:rsidR="00C17069" w:rsidRPr="00FD021D" w14:paraId="4106C94F" w14:textId="77777777" w:rsidTr="00B811E3">
        <w:tc>
          <w:tcPr>
            <w:tcW w:w="858" w:type="dxa"/>
          </w:tcPr>
          <w:p w14:paraId="67ACCD09" w14:textId="77777777" w:rsidR="00C17069" w:rsidRPr="00657E97" w:rsidRDefault="00C17069" w:rsidP="00B811E3">
            <w:pPr>
              <w:ind w:right="-110"/>
            </w:pPr>
            <w:r w:rsidRPr="00657E97">
              <w:t>4</w:t>
            </w:r>
          </w:p>
          <w:p w14:paraId="6B42C462" w14:textId="77777777" w:rsidR="00C17069" w:rsidRPr="00657E97" w:rsidRDefault="00C17069" w:rsidP="00B811E3">
            <w:pPr>
              <w:ind w:right="0"/>
              <w:rPr>
                <w:i/>
                <w:color w:val="FF0000"/>
              </w:rPr>
            </w:pPr>
          </w:p>
        </w:tc>
        <w:tc>
          <w:tcPr>
            <w:tcW w:w="1007" w:type="dxa"/>
          </w:tcPr>
          <w:p w14:paraId="7B74D5F0" w14:textId="77777777" w:rsidR="00C17069" w:rsidRPr="00657E97" w:rsidRDefault="00C17069" w:rsidP="00B811E3">
            <w:pPr>
              <w:ind w:right="-110"/>
            </w:pPr>
            <w:r w:rsidRPr="00657E97">
              <w:t>Summary</w:t>
            </w:r>
          </w:p>
        </w:tc>
        <w:tc>
          <w:tcPr>
            <w:tcW w:w="1007" w:type="dxa"/>
          </w:tcPr>
          <w:p w14:paraId="4C405F6F" w14:textId="77777777" w:rsidR="00C17069" w:rsidRPr="00657E97" w:rsidRDefault="00C17069" w:rsidP="00B811E3">
            <w:pPr>
              <w:ind w:right="-110"/>
            </w:pPr>
            <w:r w:rsidRPr="00657E97">
              <w:t>12</w:t>
            </w:r>
          </w:p>
        </w:tc>
        <w:tc>
          <w:tcPr>
            <w:tcW w:w="2090" w:type="dxa"/>
          </w:tcPr>
          <w:p w14:paraId="5C99F9EB" w14:textId="77777777" w:rsidR="00C17069" w:rsidRPr="005840C0" w:rsidRDefault="00C17069" w:rsidP="00B811E3">
            <w:pPr>
              <w:widowControl/>
              <w:autoSpaceDE w:val="0"/>
              <w:autoSpaceDN w:val="0"/>
              <w:adjustRightInd w:val="0"/>
              <w:ind w:right="0"/>
              <w:rPr>
                <w:rFonts w:asciiTheme="minorHAnsi" w:eastAsiaTheme="minorHAnsi" w:hAnsiTheme="minorHAnsi" w:cstheme="minorHAnsi"/>
                <w:color w:val="2E2E2E"/>
                <w:spacing w:val="0"/>
                <w:lang w:val="en-US"/>
              </w:rPr>
            </w:pPr>
            <w:r w:rsidRPr="005840C0">
              <w:rPr>
                <w:rFonts w:asciiTheme="minorHAnsi" w:eastAsiaTheme="minorHAnsi" w:hAnsiTheme="minorHAnsi" w:cstheme="minorHAnsi"/>
                <w:color w:val="2E2E2E"/>
                <w:spacing w:val="0"/>
                <w:lang w:val="en-US"/>
              </w:rPr>
              <w:t>the lm/W projections proposed</w:t>
            </w:r>
          </w:p>
          <w:p w14:paraId="1A1588FC" w14:textId="77777777" w:rsidR="00C17069" w:rsidRPr="005840C0" w:rsidRDefault="00C17069" w:rsidP="00B811E3">
            <w:pPr>
              <w:ind w:right="0"/>
              <w:rPr>
                <w:rFonts w:asciiTheme="minorHAnsi" w:eastAsia="Calibri" w:hAnsiTheme="minorHAnsi" w:cstheme="minorHAnsi"/>
                <w:i/>
                <w:color w:val="FF0000"/>
              </w:rPr>
            </w:pPr>
            <w:proofErr w:type="gramStart"/>
            <w:r w:rsidRPr="005840C0">
              <w:rPr>
                <w:rFonts w:asciiTheme="minorHAnsi" w:eastAsiaTheme="minorHAnsi" w:hAnsiTheme="minorHAnsi" w:cstheme="minorHAnsi"/>
                <w:color w:val="2E2E2E"/>
                <w:spacing w:val="0"/>
                <w:lang w:val="en-US"/>
              </w:rPr>
              <w:t>by</w:t>
            </w:r>
            <w:proofErr w:type="gramEnd"/>
            <w:r w:rsidRPr="005840C0">
              <w:rPr>
                <w:rFonts w:asciiTheme="minorHAnsi" w:eastAsiaTheme="minorHAnsi" w:hAnsiTheme="minorHAnsi" w:cstheme="minorHAnsi"/>
                <w:color w:val="2E2E2E"/>
                <w:spacing w:val="0"/>
                <w:lang w:val="en-US"/>
              </w:rPr>
              <w:t xml:space="preserve"> the study team for discussion</w:t>
            </w:r>
            <w:r>
              <w:rPr>
                <w:rFonts w:asciiTheme="minorHAnsi" w:eastAsiaTheme="minorHAnsi" w:hAnsiTheme="minorHAnsi" w:cstheme="minorHAnsi"/>
                <w:color w:val="2E2E2E"/>
                <w:spacing w:val="0"/>
                <w:lang w:val="en-US"/>
              </w:rPr>
              <w:t xml:space="preserve"> as in Figure 1.</w:t>
            </w:r>
          </w:p>
        </w:tc>
        <w:tc>
          <w:tcPr>
            <w:tcW w:w="3379" w:type="dxa"/>
          </w:tcPr>
          <w:p w14:paraId="4734F281" w14:textId="77777777" w:rsidR="00C17069" w:rsidRPr="005840C0" w:rsidRDefault="00C17069" w:rsidP="00B811E3">
            <w:pPr>
              <w:widowControl/>
              <w:autoSpaceDE w:val="0"/>
              <w:autoSpaceDN w:val="0"/>
              <w:adjustRightInd w:val="0"/>
              <w:ind w:right="0"/>
              <w:rPr>
                <w:rFonts w:asciiTheme="minorHAnsi" w:eastAsia="Calibri" w:hAnsiTheme="minorHAnsi" w:cstheme="minorHAnsi"/>
                <w:i/>
                <w:color w:val="FF0000"/>
              </w:rPr>
            </w:pPr>
            <w:r>
              <w:rPr>
                <w:rFonts w:asciiTheme="minorHAnsi" w:eastAsiaTheme="minorHAnsi" w:hAnsiTheme="minorHAnsi" w:cstheme="minorHAnsi"/>
                <w:color w:val="2E2E2E"/>
                <w:spacing w:val="0"/>
                <w:lang w:val="en-US"/>
              </w:rPr>
              <w:t>The starting point (with margins) is up to date. Yet t</w:t>
            </w:r>
            <w:r w:rsidRPr="005840C0">
              <w:rPr>
                <w:rFonts w:asciiTheme="minorHAnsi" w:eastAsiaTheme="minorHAnsi" w:hAnsiTheme="minorHAnsi" w:cstheme="minorHAnsi"/>
                <w:color w:val="2E2E2E"/>
                <w:spacing w:val="0"/>
                <w:lang w:val="en-US"/>
              </w:rPr>
              <w:t xml:space="preserve">he </w:t>
            </w:r>
            <w:r>
              <w:rPr>
                <w:rFonts w:asciiTheme="minorHAnsi" w:eastAsiaTheme="minorHAnsi" w:hAnsiTheme="minorHAnsi" w:cstheme="minorHAnsi"/>
                <w:color w:val="2E2E2E"/>
                <w:spacing w:val="0"/>
                <w:lang w:val="en-US"/>
              </w:rPr>
              <w:t xml:space="preserve">future </w:t>
            </w:r>
            <w:r w:rsidRPr="005840C0">
              <w:rPr>
                <w:rFonts w:asciiTheme="minorHAnsi" w:eastAsiaTheme="minorHAnsi" w:hAnsiTheme="minorHAnsi" w:cstheme="minorHAnsi"/>
                <w:color w:val="2E2E2E"/>
                <w:spacing w:val="0"/>
                <w:lang w:val="en-US"/>
              </w:rPr>
              <w:t>projections use the most optimistic forecast on efficacy improvement</w:t>
            </w:r>
            <w:r>
              <w:rPr>
                <w:rFonts w:asciiTheme="minorHAnsi" w:eastAsiaTheme="minorHAnsi" w:hAnsiTheme="minorHAnsi" w:cstheme="minorHAnsi"/>
                <w:color w:val="2E2E2E"/>
                <w:spacing w:val="0"/>
                <w:lang w:val="en-US"/>
              </w:rPr>
              <w:t xml:space="preserve"> and without margin </w:t>
            </w:r>
            <w:r w:rsidRPr="005840C0">
              <w:rPr>
                <w:rFonts w:asciiTheme="minorHAnsi" w:eastAsiaTheme="minorHAnsi" w:hAnsiTheme="minorHAnsi" w:cstheme="minorHAnsi"/>
                <w:color w:val="2E2E2E"/>
                <w:spacing w:val="0"/>
                <w:lang w:val="en-US"/>
              </w:rPr>
              <w:t xml:space="preserve">, where </w:t>
            </w:r>
            <w:r>
              <w:rPr>
                <w:rFonts w:asciiTheme="minorHAnsi" w:eastAsiaTheme="minorHAnsi" w:hAnsiTheme="minorHAnsi" w:cstheme="minorHAnsi"/>
                <w:color w:val="2E2E2E"/>
                <w:spacing w:val="0"/>
                <w:lang w:val="en-US"/>
              </w:rPr>
              <w:t>in the same document it</w:t>
            </w:r>
            <w:r w:rsidRPr="005840C0">
              <w:rPr>
                <w:rFonts w:asciiTheme="minorHAnsi" w:eastAsiaTheme="minorHAnsi" w:hAnsiTheme="minorHAnsi" w:cstheme="minorHAnsi"/>
                <w:color w:val="2E2E2E"/>
                <w:spacing w:val="0"/>
                <w:lang w:val="en-US"/>
              </w:rPr>
              <w:t xml:space="preserve"> is also mentioned </w:t>
            </w:r>
            <w:r>
              <w:rPr>
                <w:rFonts w:asciiTheme="minorHAnsi" w:eastAsiaTheme="minorHAnsi" w:hAnsiTheme="minorHAnsi" w:cstheme="minorHAnsi"/>
                <w:color w:val="2E2E2E"/>
                <w:spacing w:val="0"/>
                <w:lang w:val="en-US"/>
              </w:rPr>
              <w:t xml:space="preserve">(page 14) </w:t>
            </w:r>
            <w:r w:rsidRPr="005840C0">
              <w:rPr>
                <w:rFonts w:asciiTheme="minorHAnsi" w:eastAsiaTheme="minorHAnsi" w:hAnsiTheme="minorHAnsi" w:cstheme="minorHAnsi"/>
                <w:color w:val="2E2E2E"/>
                <w:spacing w:val="0"/>
                <w:lang w:val="en-US"/>
              </w:rPr>
              <w:t>that the increase may freeze in near future due to market developments</w:t>
            </w:r>
          </w:p>
        </w:tc>
        <w:tc>
          <w:tcPr>
            <w:tcW w:w="3379" w:type="dxa"/>
          </w:tcPr>
          <w:p w14:paraId="5548193A" w14:textId="77777777" w:rsidR="00C17069" w:rsidRDefault="00C17069" w:rsidP="00B811E3">
            <w:pPr>
              <w:ind w:right="0"/>
              <w:rPr>
                <w:rFonts w:asciiTheme="minorHAnsi" w:eastAsiaTheme="minorHAnsi" w:hAnsiTheme="minorHAnsi" w:cstheme="minorHAnsi"/>
                <w:color w:val="2E2E2E"/>
                <w:spacing w:val="0"/>
                <w:lang w:val="en-US"/>
              </w:rPr>
            </w:pPr>
            <w:r w:rsidRPr="005840C0">
              <w:rPr>
                <w:rFonts w:asciiTheme="minorHAnsi" w:eastAsiaTheme="minorHAnsi" w:hAnsiTheme="minorHAnsi" w:cstheme="minorHAnsi"/>
                <w:color w:val="2E2E2E"/>
                <w:spacing w:val="0"/>
                <w:lang w:val="en-US"/>
              </w:rPr>
              <w:t>Use a more realistic scenario for future improvements</w:t>
            </w:r>
            <w:r>
              <w:rPr>
                <w:rFonts w:asciiTheme="minorHAnsi" w:eastAsiaTheme="minorHAnsi" w:hAnsiTheme="minorHAnsi" w:cstheme="minorHAnsi"/>
                <w:color w:val="2E2E2E"/>
                <w:spacing w:val="0"/>
                <w:lang w:val="en-US"/>
              </w:rPr>
              <w:t xml:space="preserve"> and a margin</w:t>
            </w:r>
          </w:p>
          <w:p w14:paraId="49FCA228" w14:textId="77777777" w:rsidR="00C17069" w:rsidRPr="005840C0" w:rsidRDefault="00C17069" w:rsidP="00B811E3">
            <w:pPr>
              <w:ind w:right="0"/>
              <w:rPr>
                <w:rFonts w:asciiTheme="minorHAnsi" w:eastAsia="Calibri" w:hAnsiTheme="minorHAnsi" w:cstheme="minorHAnsi"/>
                <w:i/>
                <w:color w:val="FF0000"/>
                <w:lang w:val="en-US"/>
              </w:rPr>
            </w:pPr>
            <w:r>
              <w:rPr>
                <w:rFonts w:asciiTheme="minorHAnsi" w:eastAsiaTheme="minorHAnsi" w:hAnsiTheme="minorHAnsi" w:cstheme="minorHAnsi"/>
                <w:color w:val="2E2E2E"/>
                <w:spacing w:val="0"/>
                <w:lang w:val="en-US"/>
              </w:rPr>
              <w:t>on the forecast</w:t>
            </w:r>
          </w:p>
        </w:tc>
        <w:tc>
          <w:tcPr>
            <w:tcW w:w="3380" w:type="dxa"/>
          </w:tcPr>
          <w:p w14:paraId="7BE5BB6F" w14:textId="77777777" w:rsidR="00C17069" w:rsidRDefault="00312B25" w:rsidP="00B811E3">
            <w:hyperlink r:id="rId15" w:history="1">
              <w:r w:rsidR="00C17069">
                <w:rPr>
                  <w:rStyle w:val="Hyperlink"/>
                </w:rPr>
                <w:t>http://www.eia.gov/todayinenergy/detail.cfm?id=15471#</w:t>
              </w:r>
            </w:hyperlink>
          </w:p>
          <w:p w14:paraId="37548889" w14:textId="77777777" w:rsidR="00C17069" w:rsidRPr="001D4AAF" w:rsidRDefault="00C17069" w:rsidP="00B811E3">
            <w:pPr>
              <w:rPr>
                <w:color w:val="FF0000"/>
              </w:rPr>
            </w:pPr>
          </w:p>
        </w:tc>
      </w:tr>
      <w:tr w:rsidR="00C17069" w:rsidRPr="00FD021D" w14:paraId="27339858" w14:textId="77777777" w:rsidTr="00B811E3">
        <w:tc>
          <w:tcPr>
            <w:tcW w:w="858" w:type="dxa"/>
          </w:tcPr>
          <w:p w14:paraId="3C65B7DD" w14:textId="77777777" w:rsidR="00C17069" w:rsidRPr="00EF7436" w:rsidRDefault="00C17069" w:rsidP="00B811E3">
            <w:pPr>
              <w:ind w:right="0"/>
            </w:pPr>
            <w:r>
              <w:t>4</w:t>
            </w:r>
          </w:p>
        </w:tc>
        <w:tc>
          <w:tcPr>
            <w:tcW w:w="1007" w:type="dxa"/>
          </w:tcPr>
          <w:p w14:paraId="254B5CCC" w14:textId="77777777" w:rsidR="00C17069" w:rsidRDefault="00C17069" w:rsidP="00B811E3">
            <w:pPr>
              <w:ind w:right="0"/>
            </w:pPr>
            <w:r>
              <w:t>Summary</w:t>
            </w:r>
          </w:p>
        </w:tc>
        <w:tc>
          <w:tcPr>
            <w:tcW w:w="1007" w:type="dxa"/>
          </w:tcPr>
          <w:p w14:paraId="5733CAD6" w14:textId="77777777" w:rsidR="00C17069" w:rsidRDefault="00C17069" w:rsidP="00B811E3">
            <w:pPr>
              <w:ind w:right="0"/>
            </w:pPr>
            <w:r>
              <w:t>16</w:t>
            </w:r>
          </w:p>
        </w:tc>
        <w:tc>
          <w:tcPr>
            <w:tcW w:w="2090" w:type="dxa"/>
          </w:tcPr>
          <w:p w14:paraId="78F94D94" w14:textId="77777777" w:rsidR="00C17069" w:rsidRDefault="00C17069" w:rsidP="00B811E3">
            <w:pPr>
              <w:ind w:right="0"/>
              <w:rPr>
                <w:rFonts w:eastAsia="Calibri"/>
              </w:rPr>
            </w:pPr>
            <w:r>
              <w:rPr>
                <w:rFonts w:eastAsia="Calibri"/>
              </w:rPr>
              <w:t>Re-wiring for LED tubes</w:t>
            </w:r>
          </w:p>
        </w:tc>
        <w:tc>
          <w:tcPr>
            <w:tcW w:w="3379" w:type="dxa"/>
          </w:tcPr>
          <w:p w14:paraId="0F221ECE" w14:textId="77777777" w:rsidR="00C17069" w:rsidRDefault="00C17069" w:rsidP="00B811E3">
            <w:pPr>
              <w:ind w:right="0"/>
            </w:pPr>
            <w:r>
              <w:t>The re-wiring that can be necessary for LED tubes in retrofit application is not limited to LED tubes only but applies to other categories too.</w:t>
            </w:r>
          </w:p>
        </w:tc>
        <w:tc>
          <w:tcPr>
            <w:tcW w:w="3379" w:type="dxa"/>
          </w:tcPr>
          <w:p w14:paraId="2B0477DD" w14:textId="77777777" w:rsidR="00C17069" w:rsidRDefault="00C17069" w:rsidP="00B811E3">
            <w:pPr>
              <w:ind w:right="0"/>
            </w:pPr>
            <w:r>
              <w:t>Make the observation also for other retrofit applications.</w:t>
            </w:r>
          </w:p>
        </w:tc>
        <w:tc>
          <w:tcPr>
            <w:tcW w:w="3380" w:type="dxa"/>
          </w:tcPr>
          <w:p w14:paraId="65772782" w14:textId="77777777" w:rsidR="00C17069" w:rsidRPr="00EF7436" w:rsidRDefault="00C17069" w:rsidP="00B811E3"/>
        </w:tc>
      </w:tr>
      <w:tr w:rsidR="00C17069" w:rsidRPr="00FD021D" w14:paraId="15D8442B" w14:textId="77777777" w:rsidTr="00B811E3">
        <w:tc>
          <w:tcPr>
            <w:tcW w:w="858" w:type="dxa"/>
          </w:tcPr>
          <w:p w14:paraId="016833F3" w14:textId="77777777" w:rsidR="00C17069" w:rsidRDefault="00C17069" w:rsidP="00B811E3">
            <w:pPr>
              <w:ind w:right="0"/>
              <w:rPr>
                <w:i/>
                <w:color w:val="FF0000"/>
              </w:rPr>
            </w:pPr>
            <w:r w:rsidRPr="00EF7436">
              <w:t>4</w:t>
            </w:r>
          </w:p>
        </w:tc>
        <w:tc>
          <w:tcPr>
            <w:tcW w:w="1007" w:type="dxa"/>
          </w:tcPr>
          <w:p w14:paraId="159DABCD" w14:textId="77777777" w:rsidR="00C17069" w:rsidRPr="00C06E7D" w:rsidRDefault="00C17069" w:rsidP="00B811E3">
            <w:pPr>
              <w:ind w:right="0"/>
            </w:pPr>
            <w:r>
              <w:t>Summary</w:t>
            </w:r>
          </w:p>
        </w:tc>
        <w:tc>
          <w:tcPr>
            <w:tcW w:w="1007" w:type="dxa"/>
          </w:tcPr>
          <w:p w14:paraId="5CD485A1" w14:textId="77777777" w:rsidR="00C17069" w:rsidRPr="00C06E7D" w:rsidRDefault="00C17069" w:rsidP="00B811E3">
            <w:pPr>
              <w:ind w:right="0"/>
            </w:pPr>
            <w:r>
              <w:t>18</w:t>
            </w:r>
          </w:p>
        </w:tc>
        <w:tc>
          <w:tcPr>
            <w:tcW w:w="2090" w:type="dxa"/>
          </w:tcPr>
          <w:p w14:paraId="601752A2" w14:textId="77777777" w:rsidR="00C17069" w:rsidRPr="00C06E7D" w:rsidRDefault="00C17069" w:rsidP="00B811E3">
            <w:pPr>
              <w:ind w:right="0"/>
              <w:rPr>
                <w:rFonts w:eastAsia="Calibri"/>
              </w:rPr>
            </w:pPr>
            <w:r>
              <w:rPr>
                <w:rFonts w:eastAsia="Calibri"/>
              </w:rPr>
              <w:t>Availability of retrofit for R7</w:t>
            </w:r>
          </w:p>
        </w:tc>
        <w:tc>
          <w:tcPr>
            <w:tcW w:w="3379" w:type="dxa"/>
          </w:tcPr>
          <w:p w14:paraId="79C9EA9D" w14:textId="77777777" w:rsidR="00C17069" w:rsidRDefault="00C17069" w:rsidP="00B811E3">
            <w:pPr>
              <w:ind w:right="0"/>
            </w:pPr>
            <w:r>
              <w:t>It is correctly stated that not for all R7 lamps adequate retrofit exist (due to dimensions, spatial light distribution</w:t>
            </w:r>
            <w:proofErr w:type="gramStart"/>
            <w:r>
              <w:t>,…</w:t>
            </w:r>
            <w:proofErr w:type="gramEnd"/>
            <w:r>
              <w:t>)</w:t>
            </w:r>
          </w:p>
          <w:p w14:paraId="523A7A1A" w14:textId="77777777" w:rsidR="00C17069" w:rsidRPr="00C06E7D" w:rsidRDefault="00C17069" w:rsidP="00B811E3">
            <w:pPr>
              <w:ind w:right="0"/>
            </w:pPr>
            <w:r>
              <w:t xml:space="preserve">This is also valid for other  products, even for non-directional GLS and </w:t>
            </w:r>
            <w:proofErr w:type="spellStart"/>
            <w:r>
              <w:t>CFLi</w:t>
            </w:r>
            <w:proofErr w:type="spellEnd"/>
            <w:r>
              <w:t xml:space="preserve"> </w:t>
            </w:r>
          </w:p>
        </w:tc>
        <w:tc>
          <w:tcPr>
            <w:tcW w:w="3379" w:type="dxa"/>
          </w:tcPr>
          <w:p w14:paraId="286B1508" w14:textId="77777777" w:rsidR="00C17069" w:rsidRPr="00EF7436" w:rsidRDefault="00C17069" w:rsidP="00B811E3">
            <w:pPr>
              <w:ind w:right="0"/>
            </w:pPr>
            <w:r>
              <w:t>Add references for retrofit issues for other product categories.</w:t>
            </w:r>
          </w:p>
        </w:tc>
        <w:tc>
          <w:tcPr>
            <w:tcW w:w="3380" w:type="dxa"/>
          </w:tcPr>
          <w:p w14:paraId="2F12A8BA" w14:textId="77777777" w:rsidR="00C17069" w:rsidRDefault="00C17069" w:rsidP="00B811E3">
            <w:r w:rsidRPr="00EF7436">
              <w:t xml:space="preserve">See figure 4 </w:t>
            </w:r>
            <w:hyperlink r:id="rId16" w:history="1">
              <w:r>
                <w:rPr>
                  <w:rStyle w:val="Hyperlink"/>
                </w:rPr>
                <w:t>http://apps1.eere.energy.gov/buildings/publications/pdfs/ssl/led_general-service-lamps.pdf</w:t>
              </w:r>
            </w:hyperlink>
          </w:p>
          <w:p w14:paraId="79DFB2B8" w14:textId="77777777" w:rsidR="00C17069" w:rsidRPr="00FD021D" w:rsidRDefault="00C17069" w:rsidP="00B811E3">
            <w:pPr>
              <w:rPr>
                <w:i/>
                <w:color w:val="FF0000"/>
              </w:rPr>
            </w:pPr>
          </w:p>
        </w:tc>
      </w:tr>
      <w:tr w:rsidR="00C17069" w:rsidRPr="00FD021D" w14:paraId="6450076D" w14:textId="77777777" w:rsidTr="00B811E3">
        <w:tc>
          <w:tcPr>
            <w:tcW w:w="858" w:type="dxa"/>
          </w:tcPr>
          <w:p w14:paraId="24BBDABF" w14:textId="77777777" w:rsidR="00C17069" w:rsidRDefault="00C17069" w:rsidP="00B811E3">
            <w:pPr>
              <w:ind w:right="0"/>
              <w:rPr>
                <w:i/>
                <w:color w:val="FF0000"/>
              </w:rPr>
            </w:pPr>
          </w:p>
          <w:p w14:paraId="55C3A2E8" w14:textId="77777777" w:rsidR="00C17069" w:rsidRPr="00657E97" w:rsidRDefault="00C17069" w:rsidP="00B811E3">
            <w:pPr>
              <w:ind w:right="-110"/>
            </w:pPr>
            <w:r w:rsidRPr="00657E97">
              <w:t>4</w:t>
            </w:r>
          </w:p>
          <w:p w14:paraId="4D4D9019" w14:textId="77777777" w:rsidR="00C17069" w:rsidRDefault="00C17069" w:rsidP="00B811E3">
            <w:pPr>
              <w:ind w:right="0"/>
              <w:rPr>
                <w:i/>
                <w:color w:val="FF0000"/>
              </w:rPr>
            </w:pPr>
          </w:p>
          <w:p w14:paraId="339DE58D" w14:textId="77777777" w:rsidR="00C17069" w:rsidRPr="00FD021D" w:rsidRDefault="00C17069" w:rsidP="00B811E3">
            <w:pPr>
              <w:ind w:right="0"/>
              <w:rPr>
                <w:i/>
                <w:color w:val="FF0000"/>
              </w:rPr>
            </w:pPr>
          </w:p>
        </w:tc>
        <w:tc>
          <w:tcPr>
            <w:tcW w:w="1007" w:type="dxa"/>
          </w:tcPr>
          <w:p w14:paraId="4B7C1D3A" w14:textId="77777777" w:rsidR="00C17069" w:rsidRPr="00C06E7D" w:rsidRDefault="00C17069" w:rsidP="00B811E3">
            <w:pPr>
              <w:ind w:right="0"/>
            </w:pPr>
            <w:r w:rsidRPr="00C06E7D">
              <w:t xml:space="preserve">Table 17, 18, 19, </w:t>
            </w:r>
            <w:proofErr w:type="spellStart"/>
            <w:r w:rsidRPr="00C06E7D">
              <w:t>etc</w:t>
            </w:r>
            <w:proofErr w:type="spellEnd"/>
          </w:p>
        </w:tc>
        <w:tc>
          <w:tcPr>
            <w:tcW w:w="1007" w:type="dxa"/>
          </w:tcPr>
          <w:p w14:paraId="737A0D17" w14:textId="77777777" w:rsidR="00C17069" w:rsidRPr="00C06E7D" w:rsidRDefault="00C17069" w:rsidP="00B811E3">
            <w:pPr>
              <w:ind w:right="0"/>
            </w:pPr>
            <w:r w:rsidRPr="00C06E7D">
              <w:t xml:space="preserve">80, </w:t>
            </w:r>
            <w:proofErr w:type="spellStart"/>
            <w:r w:rsidRPr="00C06E7D">
              <w:t>etc</w:t>
            </w:r>
            <w:proofErr w:type="spellEnd"/>
          </w:p>
        </w:tc>
        <w:tc>
          <w:tcPr>
            <w:tcW w:w="2090" w:type="dxa"/>
          </w:tcPr>
          <w:p w14:paraId="2C550F16" w14:textId="77777777" w:rsidR="00C17069" w:rsidRPr="00C06E7D" w:rsidRDefault="00C17069" w:rsidP="00B811E3">
            <w:pPr>
              <w:ind w:right="0"/>
              <w:rPr>
                <w:rFonts w:eastAsia="Calibri"/>
              </w:rPr>
            </w:pPr>
            <w:r w:rsidRPr="00C06E7D">
              <w:rPr>
                <w:rFonts w:eastAsia="Calibri"/>
              </w:rPr>
              <w:t>Different electricity rates used per technology</w:t>
            </w:r>
          </w:p>
        </w:tc>
        <w:tc>
          <w:tcPr>
            <w:tcW w:w="3379" w:type="dxa"/>
          </w:tcPr>
          <w:p w14:paraId="56308FD7" w14:textId="77777777" w:rsidR="00C17069" w:rsidRPr="00C06E7D" w:rsidRDefault="00C17069" w:rsidP="00B811E3">
            <w:pPr>
              <w:ind w:right="0"/>
            </w:pPr>
            <w:r w:rsidRPr="00C06E7D">
              <w:t xml:space="preserve">Is it a sound </w:t>
            </w:r>
            <w:proofErr w:type="spellStart"/>
            <w:r w:rsidRPr="00C06E7D">
              <w:t>ecodesign</w:t>
            </w:r>
            <w:proofErr w:type="spellEnd"/>
            <w:r w:rsidRPr="00C06E7D">
              <w:t xml:space="preserve"> criterion to use different electricity rate to compare technologies?</w:t>
            </w:r>
          </w:p>
        </w:tc>
        <w:tc>
          <w:tcPr>
            <w:tcW w:w="3379" w:type="dxa"/>
          </w:tcPr>
          <w:p w14:paraId="200B0492" w14:textId="77777777" w:rsidR="00C17069" w:rsidRPr="00C06E7D" w:rsidRDefault="00C17069" w:rsidP="00B811E3">
            <w:pPr>
              <w:ind w:right="0"/>
              <w:rPr>
                <w:lang w:val="en-US"/>
              </w:rPr>
            </w:pPr>
            <w:r w:rsidRPr="00C06E7D">
              <w:rPr>
                <w:lang w:val="en-US"/>
              </w:rPr>
              <w:t>Use a uniform electricity rate</w:t>
            </w:r>
          </w:p>
        </w:tc>
        <w:tc>
          <w:tcPr>
            <w:tcW w:w="3380" w:type="dxa"/>
          </w:tcPr>
          <w:p w14:paraId="61BB2A3B" w14:textId="77777777" w:rsidR="00C17069" w:rsidRPr="00FD021D" w:rsidRDefault="00C17069" w:rsidP="00B811E3">
            <w:pPr>
              <w:rPr>
                <w:i/>
                <w:color w:val="FF0000"/>
              </w:rPr>
            </w:pPr>
          </w:p>
        </w:tc>
      </w:tr>
      <w:tr w:rsidR="00C17069" w:rsidRPr="00FD021D" w14:paraId="20894B24" w14:textId="77777777" w:rsidTr="00B811E3">
        <w:tc>
          <w:tcPr>
            <w:tcW w:w="858" w:type="dxa"/>
          </w:tcPr>
          <w:p w14:paraId="6D39D34F" w14:textId="77777777" w:rsidR="00C17069" w:rsidRPr="00EC7BA3" w:rsidRDefault="00C17069" w:rsidP="00B811E3">
            <w:pPr>
              <w:ind w:right="0"/>
            </w:pPr>
            <w:r w:rsidRPr="00EC7BA3">
              <w:t>4</w:t>
            </w:r>
          </w:p>
        </w:tc>
        <w:tc>
          <w:tcPr>
            <w:tcW w:w="1007" w:type="dxa"/>
          </w:tcPr>
          <w:p w14:paraId="5E6C816C" w14:textId="77777777" w:rsidR="00C17069" w:rsidRPr="00EC7BA3" w:rsidRDefault="00C17069" w:rsidP="00B811E3">
            <w:pPr>
              <w:ind w:right="0"/>
            </w:pPr>
            <w:r w:rsidRPr="00EC7BA3">
              <w:t>Table 27</w:t>
            </w:r>
          </w:p>
        </w:tc>
        <w:tc>
          <w:tcPr>
            <w:tcW w:w="1007" w:type="dxa"/>
          </w:tcPr>
          <w:p w14:paraId="03ADF284" w14:textId="77777777" w:rsidR="00C17069" w:rsidRPr="00EC7BA3" w:rsidRDefault="00C17069" w:rsidP="00B811E3">
            <w:pPr>
              <w:ind w:right="0"/>
            </w:pPr>
            <w:r w:rsidRPr="00EC7BA3">
              <w:t>101</w:t>
            </w:r>
          </w:p>
        </w:tc>
        <w:tc>
          <w:tcPr>
            <w:tcW w:w="2090" w:type="dxa"/>
          </w:tcPr>
          <w:p w14:paraId="433D631B" w14:textId="77777777" w:rsidR="00C17069" w:rsidRPr="00FD021D" w:rsidRDefault="00C17069" w:rsidP="00B811E3">
            <w:pPr>
              <w:ind w:right="0"/>
              <w:rPr>
                <w:rFonts w:eastAsia="Calibri"/>
                <w:i/>
                <w:color w:val="FF0000"/>
              </w:rPr>
            </w:pPr>
            <w:r w:rsidRPr="001D4AAF">
              <w:t xml:space="preserve">9.5 W for </w:t>
            </w:r>
            <w:proofErr w:type="spellStart"/>
            <w:r w:rsidRPr="001D4AAF">
              <w:t>CFLi</w:t>
            </w:r>
            <w:proofErr w:type="spellEnd"/>
          </w:p>
        </w:tc>
        <w:tc>
          <w:tcPr>
            <w:tcW w:w="3379" w:type="dxa"/>
          </w:tcPr>
          <w:p w14:paraId="250FE2A5" w14:textId="77777777" w:rsidR="00C17069" w:rsidRPr="00FD021D" w:rsidRDefault="00C17069" w:rsidP="00B811E3">
            <w:pPr>
              <w:ind w:right="0"/>
              <w:rPr>
                <w:i/>
                <w:color w:val="FF0000"/>
              </w:rPr>
            </w:pPr>
            <w:r w:rsidRPr="001D4AAF">
              <w:t xml:space="preserve">Is this the ‘average’ wattage for </w:t>
            </w:r>
            <w:proofErr w:type="spellStart"/>
            <w:r w:rsidRPr="001D4AAF">
              <w:t>CFLi</w:t>
            </w:r>
            <w:proofErr w:type="spellEnd"/>
            <w:r w:rsidRPr="001D4AAF">
              <w:t xml:space="preserve">? </w:t>
            </w:r>
          </w:p>
        </w:tc>
        <w:tc>
          <w:tcPr>
            <w:tcW w:w="3379" w:type="dxa"/>
          </w:tcPr>
          <w:p w14:paraId="6D7693A1" w14:textId="77777777" w:rsidR="00C17069" w:rsidRPr="00FD021D" w:rsidRDefault="00C17069" w:rsidP="00B811E3">
            <w:pPr>
              <w:ind w:right="0"/>
              <w:rPr>
                <w:i/>
                <w:color w:val="FF0000"/>
              </w:rPr>
            </w:pPr>
            <w:r w:rsidRPr="001D4AAF">
              <w:t>Use more realistic wattage and thus efficiency</w:t>
            </w:r>
            <w:r>
              <w:t>; with upward trend as LED replacement starts at lower wattages (see also last paragraph on page 100)</w:t>
            </w:r>
          </w:p>
        </w:tc>
        <w:tc>
          <w:tcPr>
            <w:tcW w:w="3380" w:type="dxa"/>
          </w:tcPr>
          <w:p w14:paraId="790A7076" w14:textId="77777777" w:rsidR="00C17069" w:rsidRPr="00FD021D" w:rsidRDefault="00C17069" w:rsidP="00B811E3">
            <w:pPr>
              <w:rPr>
                <w:i/>
                <w:color w:val="FF0000"/>
              </w:rPr>
            </w:pPr>
          </w:p>
        </w:tc>
      </w:tr>
      <w:tr w:rsidR="00C17069" w14:paraId="7BADCC60" w14:textId="77777777" w:rsidTr="00B811E3">
        <w:tc>
          <w:tcPr>
            <w:tcW w:w="858" w:type="dxa"/>
          </w:tcPr>
          <w:p w14:paraId="4E1469B0" w14:textId="77777777" w:rsidR="00C17069" w:rsidRPr="00657E97" w:rsidRDefault="00C17069" w:rsidP="00B811E3">
            <w:pPr>
              <w:ind w:right="0"/>
            </w:pPr>
            <w:r>
              <w:t>5</w:t>
            </w:r>
          </w:p>
        </w:tc>
        <w:tc>
          <w:tcPr>
            <w:tcW w:w="1007" w:type="dxa"/>
          </w:tcPr>
          <w:p w14:paraId="002754F7" w14:textId="77777777" w:rsidR="00C17069" w:rsidRPr="00657E97" w:rsidRDefault="00C17069" w:rsidP="00B811E3">
            <w:pPr>
              <w:ind w:right="0"/>
            </w:pPr>
            <w:r>
              <w:t>General</w:t>
            </w:r>
          </w:p>
        </w:tc>
        <w:tc>
          <w:tcPr>
            <w:tcW w:w="1007" w:type="dxa"/>
          </w:tcPr>
          <w:p w14:paraId="7FF33AE7" w14:textId="77777777" w:rsidR="00C17069" w:rsidRPr="00657E97" w:rsidRDefault="00C17069" w:rsidP="00B811E3">
            <w:pPr>
              <w:ind w:right="0"/>
            </w:pPr>
          </w:p>
        </w:tc>
        <w:tc>
          <w:tcPr>
            <w:tcW w:w="2090" w:type="dxa"/>
          </w:tcPr>
          <w:p w14:paraId="3127B272" w14:textId="77777777" w:rsidR="00C17069" w:rsidRPr="00657E97" w:rsidRDefault="00C17069" w:rsidP="00B811E3">
            <w:pPr>
              <w:ind w:right="0"/>
            </w:pPr>
            <w:r>
              <w:t>Only one LED category</w:t>
            </w:r>
          </w:p>
        </w:tc>
        <w:tc>
          <w:tcPr>
            <w:tcW w:w="3379" w:type="dxa"/>
          </w:tcPr>
          <w:p w14:paraId="5AF5914F" w14:textId="77777777" w:rsidR="00C17069" w:rsidRPr="00657E97" w:rsidRDefault="00C17069" w:rsidP="00B811E3">
            <w:pPr>
              <w:ind w:right="0"/>
            </w:pPr>
            <w:r>
              <w:t>Why is there only one general LED category while the other categories are split up?</w:t>
            </w:r>
          </w:p>
        </w:tc>
        <w:tc>
          <w:tcPr>
            <w:tcW w:w="3379" w:type="dxa"/>
          </w:tcPr>
          <w:p w14:paraId="19D471FF" w14:textId="77777777" w:rsidR="00C17069" w:rsidRPr="00657E97" w:rsidRDefault="00C17069" w:rsidP="00B811E3">
            <w:pPr>
              <w:ind w:right="0"/>
            </w:pPr>
            <w:r>
              <w:t>Split LED into subcategories, make comparisons for same Tc, luminous equivalence as per 244/2009</w:t>
            </w:r>
          </w:p>
        </w:tc>
        <w:tc>
          <w:tcPr>
            <w:tcW w:w="3380" w:type="dxa"/>
          </w:tcPr>
          <w:p w14:paraId="06260581" w14:textId="77777777" w:rsidR="00C17069" w:rsidRDefault="00C17069" w:rsidP="00B811E3"/>
        </w:tc>
      </w:tr>
      <w:tr w:rsidR="00C17069" w14:paraId="02513125" w14:textId="77777777" w:rsidTr="00B811E3">
        <w:tc>
          <w:tcPr>
            <w:tcW w:w="858" w:type="dxa"/>
          </w:tcPr>
          <w:p w14:paraId="558666A6" w14:textId="77777777" w:rsidR="00C17069" w:rsidRPr="00657E97" w:rsidRDefault="00C17069" w:rsidP="00B811E3">
            <w:pPr>
              <w:ind w:right="0"/>
            </w:pPr>
            <w:r>
              <w:t>5</w:t>
            </w:r>
          </w:p>
        </w:tc>
        <w:tc>
          <w:tcPr>
            <w:tcW w:w="1007" w:type="dxa"/>
          </w:tcPr>
          <w:p w14:paraId="201CDE2D" w14:textId="77777777" w:rsidR="00C17069" w:rsidRPr="00657E97" w:rsidRDefault="00C17069" w:rsidP="00B811E3">
            <w:pPr>
              <w:ind w:right="0"/>
            </w:pPr>
            <w:r>
              <w:t>General</w:t>
            </w:r>
          </w:p>
        </w:tc>
        <w:tc>
          <w:tcPr>
            <w:tcW w:w="1007" w:type="dxa"/>
          </w:tcPr>
          <w:p w14:paraId="0E841F18" w14:textId="77777777" w:rsidR="00C17069" w:rsidRPr="00657E97" w:rsidRDefault="00C17069" w:rsidP="00B811E3">
            <w:pPr>
              <w:ind w:right="0"/>
            </w:pPr>
          </w:p>
        </w:tc>
        <w:tc>
          <w:tcPr>
            <w:tcW w:w="2090" w:type="dxa"/>
          </w:tcPr>
          <w:p w14:paraId="7DA99EC7" w14:textId="77777777" w:rsidR="00C17069" w:rsidRPr="00657E97" w:rsidRDefault="00C17069" w:rsidP="00B811E3">
            <w:pPr>
              <w:ind w:right="0"/>
            </w:pPr>
            <w:r>
              <w:t>Product characteristics</w:t>
            </w:r>
          </w:p>
        </w:tc>
        <w:tc>
          <w:tcPr>
            <w:tcW w:w="3379" w:type="dxa"/>
          </w:tcPr>
          <w:p w14:paraId="6F3D27EF" w14:textId="77777777" w:rsidR="00C17069" w:rsidRPr="00657E97" w:rsidRDefault="00C17069" w:rsidP="00B811E3">
            <w:pPr>
              <w:ind w:right="0"/>
            </w:pPr>
            <w:r>
              <w:t xml:space="preserve">Are figures based on actual </w:t>
            </w:r>
            <w:r>
              <w:lastRenderedPageBreak/>
              <w:t>measurements or catalogue data</w:t>
            </w:r>
          </w:p>
        </w:tc>
        <w:tc>
          <w:tcPr>
            <w:tcW w:w="3379" w:type="dxa"/>
          </w:tcPr>
          <w:p w14:paraId="1831EE64" w14:textId="77777777" w:rsidR="00C17069" w:rsidRPr="00657E97" w:rsidRDefault="00C17069" w:rsidP="00B811E3">
            <w:pPr>
              <w:ind w:right="0"/>
            </w:pPr>
          </w:p>
        </w:tc>
        <w:tc>
          <w:tcPr>
            <w:tcW w:w="3380" w:type="dxa"/>
          </w:tcPr>
          <w:p w14:paraId="4E9341D4" w14:textId="77777777" w:rsidR="00C17069" w:rsidRDefault="00C17069" w:rsidP="00B811E3"/>
        </w:tc>
      </w:tr>
      <w:tr w:rsidR="00C17069" w14:paraId="246850CC" w14:textId="77777777" w:rsidTr="00B811E3">
        <w:tc>
          <w:tcPr>
            <w:tcW w:w="858" w:type="dxa"/>
          </w:tcPr>
          <w:p w14:paraId="7FD704B8" w14:textId="77777777" w:rsidR="00C17069" w:rsidRDefault="00C17069" w:rsidP="00B811E3">
            <w:pPr>
              <w:ind w:right="0"/>
            </w:pPr>
            <w:r w:rsidRPr="00657E97">
              <w:lastRenderedPageBreak/>
              <w:t>5</w:t>
            </w:r>
          </w:p>
        </w:tc>
        <w:tc>
          <w:tcPr>
            <w:tcW w:w="1007" w:type="dxa"/>
          </w:tcPr>
          <w:p w14:paraId="76DD1475" w14:textId="77777777" w:rsidR="00C17069" w:rsidRDefault="00C17069" w:rsidP="00B811E3">
            <w:pPr>
              <w:ind w:right="0"/>
            </w:pPr>
            <w:r w:rsidRPr="00657E97">
              <w:t>Summary</w:t>
            </w:r>
          </w:p>
        </w:tc>
        <w:tc>
          <w:tcPr>
            <w:tcW w:w="1007" w:type="dxa"/>
          </w:tcPr>
          <w:p w14:paraId="1A66C8D0" w14:textId="77777777" w:rsidR="00C17069" w:rsidRPr="00447BB8" w:rsidRDefault="00C17069" w:rsidP="00B811E3">
            <w:pPr>
              <w:ind w:right="0"/>
            </w:pPr>
            <w:r w:rsidRPr="00657E97">
              <w:t>6</w:t>
            </w:r>
          </w:p>
        </w:tc>
        <w:tc>
          <w:tcPr>
            <w:tcW w:w="2090" w:type="dxa"/>
          </w:tcPr>
          <w:p w14:paraId="74329439" w14:textId="77777777" w:rsidR="00C17069" w:rsidRPr="1E29057C" w:rsidRDefault="00C17069" w:rsidP="00B811E3">
            <w:pPr>
              <w:ind w:right="0"/>
              <w:rPr>
                <w:rFonts w:eastAsia="Calibri"/>
              </w:rPr>
            </w:pPr>
            <w:r w:rsidRPr="00657E97">
              <w:t>Figure 1 LCC</w:t>
            </w:r>
          </w:p>
        </w:tc>
        <w:tc>
          <w:tcPr>
            <w:tcW w:w="3379" w:type="dxa"/>
          </w:tcPr>
          <w:p w14:paraId="536D458B" w14:textId="77777777" w:rsidR="00C17069" w:rsidRPr="00287AC5" w:rsidRDefault="00C17069" w:rsidP="00B811E3">
            <w:pPr>
              <w:ind w:right="0"/>
            </w:pPr>
            <w:r w:rsidRPr="00657E97">
              <w:t>Results differ significantly from other studies</w:t>
            </w:r>
          </w:p>
        </w:tc>
        <w:tc>
          <w:tcPr>
            <w:tcW w:w="3379" w:type="dxa"/>
          </w:tcPr>
          <w:p w14:paraId="2211C27C" w14:textId="77777777" w:rsidR="00C17069" w:rsidRPr="007224B3" w:rsidRDefault="00C17069" w:rsidP="00B811E3">
            <w:pPr>
              <w:ind w:right="0"/>
            </w:pPr>
            <w:r w:rsidRPr="00657E97">
              <w:t>Calibrate</w:t>
            </w:r>
          </w:p>
        </w:tc>
        <w:tc>
          <w:tcPr>
            <w:tcW w:w="3380" w:type="dxa"/>
          </w:tcPr>
          <w:p w14:paraId="1E5ED27C" w14:textId="77777777" w:rsidR="00C17069" w:rsidRDefault="00C17069" w:rsidP="00B811E3">
            <w:r>
              <w:t>http://apps1.eere.energy.gov/buildings/publications/pdfs/ssl/led_general-service-lamps.pdf</w:t>
            </w:r>
          </w:p>
          <w:p w14:paraId="36BDA4CE" w14:textId="77777777" w:rsidR="00C17069" w:rsidRDefault="00C17069" w:rsidP="00B811E3"/>
        </w:tc>
      </w:tr>
      <w:tr w:rsidR="00C17069" w14:paraId="2B6F541B" w14:textId="77777777" w:rsidTr="00B811E3">
        <w:tc>
          <w:tcPr>
            <w:tcW w:w="858" w:type="dxa"/>
          </w:tcPr>
          <w:p w14:paraId="50F07368" w14:textId="77777777" w:rsidR="00C17069" w:rsidRPr="00511CF0" w:rsidRDefault="00C17069" w:rsidP="00B811E3">
            <w:pPr>
              <w:ind w:right="0"/>
              <w:rPr>
                <w:highlight w:val="cyan"/>
              </w:rPr>
            </w:pPr>
            <w:r w:rsidRPr="001D4AAF">
              <w:t>5</w:t>
            </w:r>
          </w:p>
        </w:tc>
        <w:tc>
          <w:tcPr>
            <w:tcW w:w="1007" w:type="dxa"/>
          </w:tcPr>
          <w:p w14:paraId="338839B2" w14:textId="77777777" w:rsidR="00C17069" w:rsidRPr="00511CF0" w:rsidRDefault="00C17069" w:rsidP="00B811E3">
            <w:pPr>
              <w:ind w:right="0"/>
              <w:rPr>
                <w:highlight w:val="cyan"/>
              </w:rPr>
            </w:pPr>
            <w:r w:rsidRPr="001D4AAF">
              <w:t>Table 10</w:t>
            </w:r>
          </w:p>
        </w:tc>
        <w:tc>
          <w:tcPr>
            <w:tcW w:w="1007" w:type="dxa"/>
          </w:tcPr>
          <w:p w14:paraId="0C1A1E22" w14:textId="77777777" w:rsidR="00C17069" w:rsidRPr="00511CF0" w:rsidRDefault="00C17069" w:rsidP="00B811E3">
            <w:pPr>
              <w:ind w:right="0"/>
              <w:rPr>
                <w:highlight w:val="cyan"/>
              </w:rPr>
            </w:pPr>
            <w:r w:rsidRPr="001D4AAF">
              <w:t>23</w:t>
            </w:r>
          </w:p>
        </w:tc>
        <w:tc>
          <w:tcPr>
            <w:tcW w:w="2090" w:type="dxa"/>
          </w:tcPr>
          <w:p w14:paraId="6102C83B" w14:textId="77777777" w:rsidR="00C17069" w:rsidRPr="00511CF0" w:rsidRDefault="00C17069" w:rsidP="00B811E3">
            <w:pPr>
              <w:ind w:right="0"/>
              <w:rPr>
                <w:rFonts w:eastAsia="Calibri"/>
                <w:highlight w:val="cyan"/>
              </w:rPr>
            </w:pPr>
            <w:r w:rsidRPr="001D4AAF">
              <w:t xml:space="preserve">9.5 W for </w:t>
            </w:r>
            <w:proofErr w:type="spellStart"/>
            <w:r w:rsidRPr="001D4AAF">
              <w:t>CFLi</w:t>
            </w:r>
            <w:proofErr w:type="spellEnd"/>
          </w:p>
        </w:tc>
        <w:tc>
          <w:tcPr>
            <w:tcW w:w="3379" w:type="dxa"/>
          </w:tcPr>
          <w:p w14:paraId="42C85D05" w14:textId="77777777" w:rsidR="00C17069" w:rsidRPr="00511CF0" w:rsidRDefault="00C17069" w:rsidP="00B811E3">
            <w:pPr>
              <w:ind w:right="0"/>
              <w:rPr>
                <w:rFonts w:eastAsia="Calibri"/>
                <w:highlight w:val="cyan"/>
              </w:rPr>
            </w:pPr>
            <w:r w:rsidRPr="001D4AAF">
              <w:t xml:space="preserve">Is this the ‘average’ wattage for </w:t>
            </w:r>
            <w:proofErr w:type="spellStart"/>
            <w:r w:rsidRPr="001D4AAF">
              <w:t>CFLi</w:t>
            </w:r>
            <w:proofErr w:type="spellEnd"/>
            <w:r w:rsidRPr="001D4AAF">
              <w:t xml:space="preserve">? </w:t>
            </w:r>
          </w:p>
        </w:tc>
        <w:tc>
          <w:tcPr>
            <w:tcW w:w="3379" w:type="dxa"/>
          </w:tcPr>
          <w:p w14:paraId="1BA55DA3" w14:textId="77777777" w:rsidR="00C17069" w:rsidRPr="00511CF0" w:rsidRDefault="00C17069" w:rsidP="00B811E3">
            <w:pPr>
              <w:ind w:right="0"/>
              <w:rPr>
                <w:rFonts w:eastAsia="Calibri"/>
                <w:highlight w:val="cyan"/>
              </w:rPr>
            </w:pPr>
            <w:r w:rsidRPr="001D4AAF">
              <w:t>Use more realistic wattage and thus efficiency</w:t>
            </w:r>
            <w:r>
              <w:t>; with upward trend as LED replacement starts at lower wattages</w:t>
            </w:r>
          </w:p>
        </w:tc>
        <w:tc>
          <w:tcPr>
            <w:tcW w:w="3380" w:type="dxa"/>
          </w:tcPr>
          <w:p w14:paraId="3206015E" w14:textId="77777777" w:rsidR="00C17069" w:rsidRPr="00511CF0" w:rsidRDefault="00C17069" w:rsidP="00B811E3">
            <w:pPr>
              <w:rPr>
                <w:highlight w:val="cyan"/>
              </w:rPr>
            </w:pPr>
          </w:p>
        </w:tc>
      </w:tr>
      <w:tr w:rsidR="00C17069" w:rsidRPr="005D1C78" w14:paraId="609AD80E" w14:textId="77777777" w:rsidTr="00B811E3">
        <w:trPr>
          <w:trHeight w:val="1134"/>
        </w:trPr>
        <w:tc>
          <w:tcPr>
            <w:tcW w:w="858" w:type="dxa"/>
          </w:tcPr>
          <w:p w14:paraId="68FA6B4B" w14:textId="77777777" w:rsidR="00C17069" w:rsidRDefault="00C17069" w:rsidP="00B811E3">
            <w:pPr>
              <w:ind w:right="0"/>
              <w:rPr>
                <w:i/>
                <w:color w:val="FF0000"/>
              </w:rPr>
            </w:pPr>
          </w:p>
          <w:p w14:paraId="69F31421" w14:textId="77777777" w:rsidR="00C17069" w:rsidRPr="00657E97" w:rsidRDefault="00C17069" w:rsidP="00B811E3">
            <w:pPr>
              <w:ind w:right="-110"/>
            </w:pPr>
            <w:r>
              <w:t>5</w:t>
            </w:r>
          </w:p>
          <w:p w14:paraId="2D5827CE" w14:textId="77777777" w:rsidR="00C17069" w:rsidRDefault="00C17069" w:rsidP="00B811E3">
            <w:pPr>
              <w:ind w:right="0"/>
              <w:rPr>
                <w:i/>
                <w:color w:val="FF0000"/>
              </w:rPr>
            </w:pPr>
          </w:p>
          <w:p w14:paraId="29FBE04E" w14:textId="77777777" w:rsidR="00C17069" w:rsidRPr="00511CF0" w:rsidRDefault="00C17069" w:rsidP="00B811E3">
            <w:pPr>
              <w:ind w:right="-110"/>
              <w:rPr>
                <w:highlight w:val="cyan"/>
              </w:rPr>
            </w:pPr>
          </w:p>
        </w:tc>
        <w:tc>
          <w:tcPr>
            <w:tcW w:w="1007" w:type="dxa"/>
          </w:tcPr>
          <w:p w14:paraId="3ED8DB57" w14:textId="77777777" w:rsidR="00C17069" w:rsidRPr="00511CF0" w:rsidRDefault="00C17069" w:rsidP="00B811E3">
            <w:pPr>
              <w:ind w:right="-94"/>
              <w:rPr>
                <w:highlight w:val="cyan"/>
              </w:rPr>
            </w:pPr>
            <w:r>
              <w:t>Footnote</w:t>
            </w:r>
            <w:r w:rsidRPr="00C06E7D">
              <w:t xml:space="preserve"> 17, </w:t>
            </w:r>
            <w:r>
              <w:t>table 20</w:t>
            </w:r>
          </w:p>
        </w:tc>
        <w:tc>
          <w:tcPr>
            <w:tcW w:w="1007" w:type="dxa"/>
          </w:tcPr>
          <w:p w14:paraId="20636BA1" w14:textId="77777777" w:rsidR="00C17069" w:rsidRPr="00511CF0" w:rsidRDefault="00C17069" w:rsidP="00B811E3">
            <w:pPr>
              <w:ind w:right="-77"/>
              <w:rPr>
                <w:highlight w:val="cyan"/>
              </w:rPr>
            </w:pPr>
            <w:r>
              <w:t>12</w:t>
            </w:r>
            <w:r w:rsidRPr="00C06E7D">
              <w:t xml:space="preserve">, </w:t>
            </w:r>
            <w:r>
              <w:t>40</w:t>
            </w:r>
          </w:p>
        </w:tc>
        <w:tc>
          <w:tcPr>
            <w:tcW w:w="2090" w:type="dxa"/>
          </w:tcPr>
          <w:p w14:paraId="2124BCDB" w14:textId="77777777" w:rsidR="00C17069" w:rsidRPr="00511CF0" w:rsidRDefault="00C17069" w:rsidP="00B811E3">
            <w:pPr>
              <w:ind w:right="-120"/>
              <w:rPr>
                <w:highlight w:val="cyan"/>
              </w:rPr>
            </w:pPr>
            <w:r w:rsidRPr="00C06E7D">
              <w:rPr>
                <w:rFonts w:eastAsia="Calibri"/>
              </w:rPr>
              <w:t>Different electricity rates used per technology</w:t>
            </w:r>
          </w:p>
        </w:tc>
        <w:tc>
          <w:tcPr>
            <w:tcW w:w="3379" w:type="dxa"/>
          </w:tcPr>
          <w:p w14:paraId="196DEE55" w14:textId="77777777" w:rsidR="00C17069" w:rsidRPr="00511CF0" w:rsidRDefault="00C17069" w:rsidP="00B811E3">
            <w:pPr>
              <w:ind w:right="-120"/>
              <w:rPr>
                <w:highlight w:val="cyan"/>
              </w:rPr>
            </w:pPr>
            <w:r w:rsidRPr="00C06E7D">
              <w:t xml:space="preserve">Is it a sound </w:t>
            </w:r>
            <w:proofErr w:type="spellStart"/>
            <w:r w:rsidRPr="00C06E7D">
              <w:t>ecodesign</w:t>
            </w:r>
            <w:proofErr w:type="spellEnd"/>
            <w:r w:rsidRPr="00C06E7D">
              <w:t xml:space="preserve"> criterion to use different electricity rate to compare technologies?</w:t>
            </w:r>
          </w:p>
        </w:tc>
        <w:tc>
          <w:tcPr>
            <w:tcW w:w="3379" w:type="dxa"/>
          </w:tcPr>
          <w:p w14:paraId="295D0560" w14:textId="77777777" w:rsidR="00C17069" w:rsidRPr="00511CF0" w:rsidRDefault="00C17069" w:rsidP="00B811E3">
            <w:pPr>
              <w:ind w:right="-120"/>
              <w:rPr>
                <w:highlight w:val="cyan"/>
              </w:rPr>
            </w:pPr>
            <w:r w:rsidRPr="00C06E7D">
              <w:rPr>
                <w:lang w:val="en-US"/>
              </w:rPr>
              <w:t>Use a uniform electricity rate</w:t>
            </w:r>
          </w:p>
        </w:tc>
        <w:tc>
          <w:tcPr>
            <w:tcW w:w="3380" w:type="dxa"/>
          </w:tcPr>
          <w:p w14:paraId="70A40D30" w14:textId="77777777" w:rsidR="00C17069" w:rsidRPr="00511CF0" w:rsidRDefault="00C17069" w:rsidP="00B811E3">
            <w:pPr>
              <w:rPr>
                <w:highlight w:val="cyan"/>
              </w:rPr>
            </w:pPr>
          </w:p>
        </w:tc>
      </w:tr>
      <w:tr w:rsidR="00C17069" w:rsidRPr="005D1C78" w14:paraId="3B7C6715" w14:textId="77777777" w:rsidTr="00B811E3">
        <w:trPr>
          <w:trHeight w:val="487"/>
        </w:trPr>
        <w:tc>
          <w:tcPr>
            <w:tcW w:w="858" w:type="dxa"/>
          </w:tcPr>
          <w:p w14:paraId="2F5F8766" w14:textId="77777777" w:rsidR="00C17069" w:rsidRPr="00511CF0" w:rsidRDefault="00C17069" w:rsidP="00B811E3">
            <w:pPr>
              <w:ind w:right="-110"/>
              <w:rPr>
                <w:highlight w:val="cyan"/>
              </w:rPr>
            </w:pPr>
            <w:r w:rsidRPr="00657E97">
              <w:t>5</w:t>
            </w:r>
          </w:p>
        </w:tc>
        <w:tc>
          <w:tcPr>
            <w:tcW w:w="1007" w:type="dxa"/>
          </w:tcPr>
          <w:p w14:paraId="7EDA269F" w14:textId="77777777" w:rsidR="00C17069" w:rsidRPr="00511CF0" w:rsidRDefault="00C17069" w:rsidP="00B811E3">
            <w:pPr>
              <w:ind w:right="-94"/>
              <w:rPr>
                <w:highlight w:val="cyan"/>
              </w:rPr>
            </w:pPr>
          </w:p>
        </w:tc>
        <w:tc>
          <w:tcPr>
            <w:tcW w:w="1007" w:type="dxa"/>
          </w:tcPr>
          <w:p w14:paraId="1208A869" w14:textId="77777777" w:rsidR="00C17069" w:rsidRPr="00511CF0" w:rsidRDefault="00C17069" w:rsidP="00B811E3">
            <w:pPr>
              <w:ind w:right="-77"/>
              <w:rPr>
                <w:highlight w:val="cyan"/>
              </w:rPr>
            </w:pPr>
          </w:p>
        </w:tc>
        <w:tc>
          <w:tcPr>
            <w:tcW w:w="2090" w:type="dxa"/>
          </w:tcPr>
          <w:p w14:paraId="7131875A" w14:textId="77777777" w:rsidR="00C17069" w:rsidRPr="00511CF0" w:rsidRDefault="00C17069" w:rsidP="00B811E3">
            <w:pPr>
              <w:ind w:right="-120"/>
              <w:rPr>
                <w:highlight w:val="cyan"/>
              </w:rPr>
            </w:pPr>
            <w:r w:rsidRPr="00C06E7D">
              <w:t>lm/W value for CFL</w:t>
            </w:r>
          </w:p>
        </w:tc>
        <w:tc>
          <w:tcPr>
            <w:tcW w:w="3379" w:type="dxa"/>
          </w:tcPr>
          <w:p w14:paraId="14228547" w14:textId="77777777" w:rsidR="00C17069" w:rsidRPr="00C06E7D" w:rsidRDefault="00C17069" w:rsidP="00B811E3">
            <w:r w:rsidRPr="00C06E7D">
              <w:t>Typical figure of 55 lm/</w:t>
            </w:r>
            <w:proofErr w:type="gramStart"/>
            <w:r w:rsidRPr="00C06E7D">
              <w:t>W  for</w:t>
            </w:r>
            <w:proofErr w:type="gramEnd"/>
            <w:r w:rsidRPr="00C06E7D">
              <w:t xml:space="preserve"> 6000 hrs is conservative for CFL</w:t>
            </w:r>
            <w:r>
              <w:t>.</w:t>
            </w:r>
          </w:p>
          <w:p w14:paraId="0B5FB8C2" w14:textId="77777777" w:rsidR="00C17069" w:rsidRPr="00511CF0" w:rsidRDefault="00C17069" w:rsidP="00B811E3">
            <w:pPr>
              <w:ind w:right="-120"/>
              <w:rPr>
                <w:highlight w:val="cyan"/>
              </w:rPr>
            </w:pPr>
          </w:p>
        </w:tc>
        <w:tc>
          <w:tcPr>
            <w:tcW w:w="3379" w:type="dxa"/>
          </w:tcPr>
          <w:p w14:paraId="723F9449" w14:textId="77777777" w:rsidR="00C17069" w:rsidRPr="00511CF0" w:rsidRDefault="00C17069" w:rsidP="00B811E3">
            <w:pPr>
              <w:rPr>
                <w:highlight w:val="cyan"/>
              </w:rPr>
            </w:pPr>
            <w:r w:rsidRPr="00C06E7D">
              <w:t>Calibrate</w:t>
            </w:r>
            <w:r>
              <w:t>. Propose 12Watt average with 60 lm/w efficacy</w:t>
            </w:r>
          </w:p>
        </w:tc>
        <w:tc>
          <w:tcPr>
            <w:tcW w:w="3380" w:type="dxa"/>
          </w:tcPr>
          <w:p w14:paraId="0C289C00" w14:textId="77777777" w:rsidR="00C17069" w:rsidRDefault="00312B25" w:rsidP="00B811E3">
            <w:hyperlink r:id="rId17" w:history="1">
              <w:r w:rsidR="00C17069" w:rsidRPr="007C5522">
                <w:rPr>
                  <w:rStyle w:val="Hyperlink"/>
                </w:rPr>
                <w:t>http://apps1.eere.energy.gov/buildings/publications/pdfs/ssl/energysavingsforecast14.pdf</w:t>
              </w:r>
            </w:hyperlink>
          </w:p>
          <w:p w14:paraId="0CF559A3" w14:textId="77777777" w:rsidR="00C17069" w:rsidRPr="00511CF0" w:rsidRDefault="00C17069" w:rsidP="00B811E3">
            <w:pPr>
              <w:rPr>
                <w:highlight w:val="cyan"/>
              </w:rPr>
            </w:pPr>
          </w:p>
        </w:tc>
      </w:tr>
      <w:tr w:rsidR="00C17069" w:rsidRPr="005D1C78" w14:paraId="0BB32366" w14:textId="77777777" w:rsidTr="00B811E3">
        <w:trPr>
          <w:trHeight w:val="1134"/>
        </w:trPr>
        <w:tc>
          <w:tcPr>
            <w:tcW w:w="858" w:type="dxa"/>
          </w:tcPr>
          <w:p w14:paraId="2E8B5231" w14:textId="77777777" w:rsidR="00C17069" w:rsidRPr="00511CF0" w:rsidRDefault="00C17069" w:rsidP="00B811E3">
            <w:pPr>
              <w:ind w:right="-110"/>
              <w:rPr>
                <w:highlight w:val="cyan"/>
              </w:rPr>
            </w:pPr>
            <w:r>
              <w:t>5</w:t>
            </w:r>
          </w:p>
        </w:tc>
        <w:tc>
          <w:tcPr>
            <w:tcW w:w="1007" w:type="dxa"/>
          </w:tcPr>
          <w:p w14:paraId="31DCF92B" w14:textId="77777777" w:rsidR="00C17069" w:rsidRPr="00511CF0" w:rsidRDefault="00C17069" w:rsidP="00B811E3">
            <w:pPr>
              <w:ind w:right="-94"/>
              <w:rPr>
                <w:highlight w:val="cyan"/>
              </w:rPr>
            </w:pPr>
            <w:r>
              <w:t>Table 20</w:t>
            </w:r>
          </w:p>
        </w:tc>
        <w:tc>
          <w:tcPr>
            <w:tcW w:w="1007" w:type="dxa"/>
          </w:tcPr>
          <w:p w14:paraId="054FB886" w14:textId="77777777" w:rsidR="00C17069" w:rsidRPr="00C06E7D" w:rsidRDefault="00C17069" w:rsidP="00B811E3">
            <w:pPr>
              <w:ind w:right="0"/>
            </w:pPr>
            <w:r w:rsidRPr="00C06E7D">
              <w:t>40</w:t>
            </w:r>
          </w:p>
          <w:p w14:paraId="5E668E3F" w14:textId="77777777" w:rsidR="00C17069" w:rsidRPr="00511CF0" w:rsidRDefault="00C17069" w:rsidP="00B811E3">
            <w:pPr>
              <w:ind w:right="-77"/>
              <w:rPr>
                <w:highlight w:val="cyan"/>
              </w:rPr>
            </w:pPr>
          </w:p>
        </w:tc>
        <w:tc>
          <w:tcPr>
            <w:tcW w:w="2090" w:type="dxa"/>
          </w:tcPr>
          <w:p w14:paraId="1F6BEF1D" w14:textId="77777777" w:rsidR="00C17069" w:rsidRPr="00511CF0" w:rsidRDefault="00C17069" w:rsidP="00B811E3">
            <w:pPr>
              <w:ind w:right="-120"/>
              <w:rPr>
                <w:highlight w:val="cyan"/>
              </w:rPr>
            </w:pPr>
            <w:r>
              <w:rPr>
                <w:rFonts w:eastAsia="Calibri"/>
              </w:rPr>
              <w:t xml:space="preserve">Typical </w:t>
            </w:r>
            <w:r w:rsidRPr="00B54FE1">
              <w:rPr>
                <w:rFonts w:eastAsia="Calibri"/>
              </w:rPr>
              <w:t>lm/W value per technology</w:t>
            </w:r>
          </w:p>
        </w:tc>
        <w:tc>
          <w:tcPr>
            <w:tcW w:w="3379" w:type="dxa"/>
          </w:tcPr>
          <w:p w14:paraId="0AC0F86A" w14:textId="77777777" w:rsidR="00C17069" w:rsidRPr="00511CF0" w:rsidRDefault="00C17069" w:rsidP="00B811E3">
            <w:pPr>
              <w:ind w:right="-120"/>
              <w:rPr>
                <w:highlight w:val="cyan"/>
              </w:rPr>
            </w:pPr>
            <w:r w:rsidRPr="00B54FE1">
              <w:rPr>
                <w:rFonts w:eastAsia="Calibri"/>
              </w:rPr>
              <w:t>244/2009 differentiates lm equivalence with GLS per alternative technology</w:t>
            </w:r>
          </w:p>
        </w:tc>
        <w:tc>
          <w:tcPr>
            <w:tcW w:w="3379" w:type="dxa"/>
          </w:tcPr>
          <w:p w14:paraId="2806BBEC" w14:textId="77777777" w:rsidR="00C17069" w:rsidRPr="00511CF0" w:rsidRDefault="00C17069" w:rsidP="00B811E3">
            <w:pPr>
              <w:rPr>
                <w:highlight w:val="cyan"/>
              </w:rPr>
            </w:pPr>
            <w:r w:rsidRPr="00B54FE1">
              <w:rPr>
                <w:rFonts w:eastAsia="Calibri"/>
              </w:rPr>
              <w:t>Use 244/2009 equivalence table</w:t>
            </w:r>
          </w:p>
        </w:tc>
        <w:tc>
          <w:tcPr>
            <w:tcW w:w="3380" w:type="dxa"/>
          </w:tcPr>
          <w:p w14:paraId="2564162B" w14:textId="77777777" w:rsidR="00C17069" w:rsidRPr="00511CF0" w:rsidRDefault="00C17069" w:rsidP="00B811E3">
            <w:pPr>
              <w:rPr>
                <w:highlight w:val="cyan"/>
              </w:rPr>
            </w:pPr>
          </w:p>
        </w:tc>
      </w:tr>
      <w:tr w:rsidR="00C17069" w:rsidRPr="005D1C78" w14:paraId="31C721D0" w14:textId="77777777" w:rsidTr="00B811E3">
        <w:trPr>
          <w:trHeight w:val="1134"/>
        </w:trPr>
        <w:tc>
          <w:tcPr>
            <w:tcW w:w="858" w:type="dxa"/>
          </w:tcPr>
          <w:p w14:paraId="7261C73C" w14:textId="77777777" w:rsidR="00C17069" w:rsidRPr="00657E97" w:rsidRDefault="00C17069" w:rsidP="00B811E3">
            <w:pPr>
              <w:ind w:right="-110"/>
            </w:pPr>
            <w:r>
              <w:t>6</w:t>
            </w:r>
          </w:p>
        </w:tc>
        <w:tc>
          <w:tcPr>
            <w:tcW w:w="1007" w:type="dxa"/>
          </w:tcPr>
          <w:p w14:paraId="2C253811" w14:textId="77777777" w:rsidR="00C17069" w:rsidRPr="00657E97" w:rsidRDefault="00C17069" w:rsidP="00B811E3">
            <w:pPr>
              <w:ind w:right="-94"/>
            </w:pPr>
            <w:r>
              <w:t>General</w:t>
            </w:r>
          </w:p>
        </w:tc>
        <w:tc>
          <w:tcPr>
            <w:tcW w:w="1007" w:type="dxa"/>
          </w:tcPr>
          <w:p w14:paraId="2AE4B3FA" w14:textId="77777777" w:rsidR="00C17069" w:rsidRPr="00657E97" w:rsidRDefault="00C17069" w:rsidP="00B811E3">
            <w:pPr>
              <w:ind w:right="-77"/>
            </w:pPr>
            <w:r>
              <w:t>e.g. page 5</w:t>
            </w:r>
          </w:p>
        </w:tc>
        <w:tc>
          <w:tcPr>
            <w:tcW w:w="2090" w:type="dxa"/>
          </w:tcPr>
          <w:p w14:paraId="22D94275" w14:textId="77777777" w:rsidR="00C17069" w:rsidRPr="00657E97" w:rsidRDefault="00C17069" w:rsidP="00B811E3">
            <w:pPr>
              <w:ind w:right="-120"/>
            </w:pPr>
            <w:r>
              <w:t>LED 2015 and LED 2020</w:t>
            </w:r>
          </w:p>
        </w:tc>
        <w:tc>
          <w:tcPr>
            <w:tcW w:w="3379" w:type="dxa"/>
          </w:tcPr>
          <w:p w14:paraId="03D744AB" w14:textId="77777777" w:rsidR="00C17069" w:rsidRPr="00BF773C" w:rsidRDefault="00C17069" w:rsidP="00B811E3">
            <w:pPr>
              <w:ind w:right="-120"/>
              <w:rPr>
                <w:i/>
              </w:rPr>
            </w:pPr>
            <w:r>
              <w:t>“</w:t>
            </w:r>
            <w:r w:rsidRPr="00BF773C">
              <w:rPr>
                <w:i/>
              </w:rPr>
              <w:t>If LEDs meet the projected 2020 characteristics, and classic technologies maintain their</w:t>
            </w:r>
            <w:r>
              <w:rPr>
                <w:i/>
              </w:rPr>
              <w:t xml:space="preserve"> </w:t>
            </w:r>
            <w:r w:rsidRPr="00BF773C">
              <w:rPr>
                <w:i/>
              </w:rPr>
              <w:t xml:space="preserve">current </w:t>
            </w:r>
            <w:proofErr w:type="gramStart"/>
            <w:r w:rsidRPr="00BF773C">
              <w:rPr>
                <w:i/>
              </w:rPr>
              <w:t>characteristics, ….”</w:t>
            </w:r>
            <w:proofErr w:type="gramEnd"/>
          </w:p>
          <w:p w14:paraId="74721681" w14:textId="77777777" w:rsidR="00C17069" w:rsidRPr="00657E97" w:rsidRDefault="00C17069" w:rsidP="00B811E3">
            <w:pPr>
              <w:ind w:right="-120"/>
            </w:pPr>
            <w:r>
              <w:t>See comments for task 4 and 5 on LED status and perspective</w:t>
            </w:r>
          </w:p>
        </w:tc>
        <w:tc>
          <w:tcPr>
            <w:tcW w:w="3379" w:type="dxa"/>
          </w:tcPr>
          <w:p w14:paraId="57D65084" w14:textId="77777777" w:rsidR="00C17069" w:rsidRPr="00657E97" w:rsidRDefault="00C17069" w:rsidP="00B811E3">
            <w:r>
              <w:t>Use margins on future projection and calibrate application specific</w:t>
            </w:r>
          </w:p>
        </w:tc>
        <w:tc>
          <w:tcPr>
            <w:tcW w:w="3380" w:type="dxa"/>
          </w:tcPr>
          <w:p w14:paraId="53DBC952" w14:textId="77777777" w:rsidR="00C17069" w:rsidRPr="00511CF0" w:rsidRDefault="00C17069" w:rsidP="00B811E3">
            <w:pPr>
              <w:rPr>
                <w:highlight w:val="cyan"/>
              </w:rPr>
            </w:pPr>
          </w:p>
        </w:tc>
      </w:tr>
      <w:tr w:rsidR="00C17069" w:rsidRPr="00942441" w14:paraId="3C867A14" w14:textId="77777777" w:rsidTr="00B811E3">
        <w:tc>
          <w:tcPr>
            <w:tcW w:w="858" w:type="dxa"/>
          </w:tcPr>
          <w:p w14:paraId="3F68E5EE" w14:textId="77777777" w:rsidR="00C17069" w:rsidRPr="001D4AAF" w:rsidRDefault="00C17069" w:rsidP="00B811E3">
            <w:pPr>
              <w:ind w:right="-110"/>
            </w:pPr>
            <w:r>
              <w:t>6</w:t>
            </w:r>
          </w:p>
        </w:tc>
        <w:tc>
          <w:tcPr>
            <w:tcW w:w="1007" w:type="dxa"/>
          </w:tcPr>
          <w:p w14:paraId="3649AC3C" w14:textId="77777777" w:rsidR="00C17069" w:rsidRPr="001D4AAF" w:rsidRDefault="00C17069" w:rsidP="00B811E3">
            <w:pPr>
              <w:ind w:right="-110"/>
            </w:pPr>
            <w:r>
              <w:t>Summary</w:t>
            </w:r>
          </w:p>
        </w:tc>
        <w:tc>
          <w:tcPr>
            <w:tcW w:w="1007" w:type="dxa"/>
          </w:tcPr>
          <w:p w14:paraId="43614C4B" w14:textId="77777777" w:rsidR="00C17069" w:rsidRPr="001D4AAF" w:rsidRDefault="00C17069" w:rsidP="00B811E3">
            <w:pPr>
              <w:ind w:right="0"/>
            </w:pPr>
            <w:r>
              <w:t>Page 5</w:t>
            </w:r>
          </w:p>
        </w:tc>
        <w:tc>
          <w:tcPr>
            <w:tcW w:w="2090" w:type="dxa"/>
          </w:tcPr>
          <w:p w14:paraId="06B8B290" w14:textId="77777777" w:rsidR="00C17069" w:rsidRPr="001D4AAF" w:rsidRDefault="00C17069" w:rsidP="00B811E3">
            <w:r>
              <w:t>Availability of retrofit</w:t>
            </w:r>
          </w:p>
        </w:tc>
        <w:tc>
          <w:tcPr>
            <w:tcW w:w="3379" w:type="dxa"/>
          </w:tcPr>
          <w:p w14:paraId="76A70591" w14:textId="77777777" w:rsidR="00C17069" w:rsidRPr="00BF773C" w:rsidRDefault="00C17069" w:rsidP="00B811E3">
            <w:pPr>
              <w:widowControl/>
              <w:autoSpaceDE w:val="0"/>
              <w:autoSpaceDN w:val="0"/>
              <w:adjustRightInd w:val="0"/>
              <w:ind w:right="0"/>
              <w:rPr>
                <w:i/>
              </w:rPr>
            </w:pPr>
            <w:r>
              <w:rPr>
                <w:i/>
              </w:rPr>
              <w:t>“</w:t>
            </w:r>
            <w:r w:rsidRPr="00BF773C">
              <w:rPr>
                <w:i/>
              </w:rPr>
              <w:t>it is recalled from the Task 4 report that LED retrofit lamps for halogen capsules and for</w:t>
            </w:r>
            <w:r>
              <w:rPr>
                <w:i/>
              </w:rPr>
              <w:t xml:space="preserve"> </w:t>
            </w:r>
            <w:r w:rsidRPr="00BF773C">
              <w:rPr>
                <w:i/>
              </w:rPr>
              <w:t>linear halogen lamps with R7s caps in general have larger dimensions than the lamps</w:t>
            </w:r>
            <w:r>
              <w:rPr>
                <w:i/>
              </w:rPr>
              <w:t xml:space="preserve"> </w:t>
            </w:r>
            <w:r w:rsidRPr="00BF773C">
              <w:rPr>
                <w:i/>
              </w:rPr>
              <w:t>they aim to substitute</w:t>
            </w:r>
            <w:r>
              <w:rPr>
                <w:i/>
              </w:rPr>
              <w:t>”</w:t>
            </w:r>
          </w:p>
        </w:tc>
        <w:tc>
          <w:tcPr>
            <w:tcW w:w="3379" w:type="dxa"/>
          </w:tcPr>
          <w:p w14:paraId="008D81EB" w14:textId="77777777" w:rsidR="00C17069" w:rsidRPr="001D4AAF" w:rsidRDefault="00C17069" w:rsidP="00B811E3">
            <w:r>
              <w:t>This is not limited to R7. See also comments task 4 and 5.</w:t>
            </w:r>
          </w:p>
        </w:tc>
        <w:tc>
          <w:tcPr>
            <w:tcW w:w="3380" w:type="dxa"/>
          </w:tcPr>
          <w:p w14:paraId="4FBDB99C" w14:textId="77777777" w:rsidR="00C17069" w:rsidRPr="00511CF0" w:rsidRDefault="00C17069" w:rsidP="00B811E3">
            <w:pPr>
              <w:rPr>
                <w:highlight w:val="cyan"/>
              </w:rPr>
            </w:pPr>
          </w:p>
        </w:tc>
      </w:tr>
      <w:tr w:rsidR="00C17069" w:rsidRPr="005D1C78" w14:paraId="51C533E8" w14:textId="77777777" w:rsidTr="00B811E3">
        <w:trPr>
          <w:trHeight w:val="1134"/>
        </w:trPr>
        <w:tc>
          <w:tcPr>
            <w:tcW w:w="858" w:type="dxa"/>
          </w:tcPr>
          <w:p w14:paraId="756E85D0" w14:textId="77777777" w:rsidR="00C17069" w:rsidRPr="00993F02" w:rsidRDefault="00C17069" w:rsidP="00B811E3">
            <w:pPr>
              <w:ind w:right="-110"/>
            </w:pPr>
            <w:r w:rsidRPr="00993F02">
              <w:lastRenderedPageBreak/>
              <w:t>6</w:t>
            </w:r>
          </w:p>
        </w:tc>
        <w:tc>
          <w:tcPr>
            <w:tcW w:w="1007" w:type="dxa"/>
          </w:tcPr>
          <w:p w14:paraId="2C107B0B" w14:textId="77777777" w:rsidR="00C17069" w:rsidRPr="00993F02" w:rsidRDefault="00C17069" w:rsidP="00B811E3">
            <w:pPr>
              <w:ind w:right="-94"/>
            </w:pPr>
            <w:r w:rsidRPr="00993F02">
              <w:t>General</w:t>
            </w:r>
          </w:p>
        </w:tc>
        <w:tc>
          <w:tcPr>
            <w:tcW w:w="1007" w:type="dxa"/>
          </w:tcPr>
          <w:p w14:paraId="0F4D1FDA" w14:textId="77777777" w:rsidR="00C17069" w:rsidRPr="002D1CD0" w:rsidRDefault="00C17069" w:rsidP="00B811E3">
            <w:pPr>
              <w:ind w:right="-77"/>
              <w:rPr>
                <w:highlight w:val="green"/>
              </w:rPr>
            </w:pPr>
          </w:p>
        </w:tc>
        <w:tc>
          <w:tcPr>
            <w:tcW w:w="2090" w:type="dxa"/>
          </w:tcPr>
          <w:p w14:paraId="1CCBB348" w14:textId="77777777" w:rsidR="00C17069" w:rsidRPr="00C06E7D" w:rsidRDefault="00C17069" w:rsidP="00B811E3">
            <w:r>
              <w:t>Differentiation of energy rates</w:t>
            </w:r>
          </w:p>
        </w:tc>
        <w:tc>
          <w:tcPr>
            <w:tcW w:w="3379" w:type="dxa"/>
          </w:tcPr>
          <w:p w14:paraId="4DA996C4" w14:textId="77777777" w:rsidR="00C17069" w:rsidRPr="00993F02" w:rsidRDefault="00C17069" w:rsidP="00B811E3">
            <w:pPr>
              <w:rPr>
                <w:highlight w:val="green"/>
              </w:rPr>
            </w:pPr>
            <w:r w:rsidRPr="00993F02">
              <w:t>As for task 4 and 5</w:t>
            </w:r>
          </w:p>
        </w:tc>
        <w:tc>
          <w:tcPr>
            <w:tcW w:w="3379" w:type="dxa"/>
          </w:tcPr>
          <w:p w14:paraId="7E09AD39" w14:textId="77777777" w:rsidR="00C17069" w:rsidRPr="002D1CD0" w:rsidRDefault="00C17069" w:rsidP="00B811E3">
            <w:pPr>
              <w:ind w:right="0"/>
              <w:rPr>
                <w:highlight w:val="green"/>
              </w:rPr>
            </w:pPr>
          </w:p>
        </w:tc>
        <w:tc>
          <w:tcPr>
            <w:tcW w:w="3380" w:type="dxa"/>
          </w:tcPr>
          <w:p w14:paraId="5447639C" w14:textId="77777777" w:rsidR="00C17069" w:rsidRPr="002D1CD0" w:rsidRDefault="00C17069" w:rsidP="00B811E3">
            <w:pPr>
              <w:rPr>
                <w:highlight w:val="green"/>
              </w:rPr>
            </w:pPr>
          </w:p>
        </w:tc>
      </w:tr>
      <w:tr w:rsidR="00C17069" w:rsidRPr="005D1C78" w14:paraId="1A27D8DB" w14:textId="77777777" w:rsidTr="00B811E3">
        <w:trPr>
          <w:trHeight w:val="1134"/>
        </w:trPr>
        <w:tc>
          <w:tcPr>
            <w:tcW w:w="858" w:type="dxa"/>
          </w:tcPr>
          <w:p w14:paraId="15653C20" w14:textId="77777777" w:rsidR="00C17069" w:rsidRPr="002E6D23" w:rsidRDefault="00C17069" w:rsidP="00B811E3">
            <w:pPr>
              <w:ind w:right="0"/>
            </w:pPr>
            <w:r>
              <w:t>6</w:t>
            </w:r>
          </w:p>
        </w:tc>
        <w:tc>
          <w:tcPr>
            <w:tcW w:w="1007" w:type="dxa"/>
          </w:tcPr>
          <w:p w14:paraId="67C0603A" w14:textId="77777777" w:rsidR="00C17069" w:rsidRDefault="00C17069" w:rsidP="00B811E3">
            <w:pPr>
              <w:ind w:right="0"/>
            </w:pPr>
            <w:r>
              <w:t>2 Analysis</w:t>
            </w:r>
          </w:p>
        </w:tc>
        <w:tc>
          <w:tcPr>
            <w:tcW w:w="1007" w:type="dxa"/>
          </w:tcPr>
          <w:p w14:paraId="5A3891A5" w14:textId="77777777" w:rsidR="00C17069" w:rsidRPr="00EC63A5" w:rsidRDefault="00C17069" w:rsidP="00B811E3">
            <w:pPr>
              <w:ind w:right="0"/>
              <w:rPr>
                <w:highlight w:val="yellow"/>
              </w:rPr>
            </w:pPr>
            <w:r w:rsidRPr="00993F02">
              <w:t>9</w:t>
            </w:r>
          </w:p>
        </w:tc>
        <w:tc>
          <w:tcPr>
            <w:tcW w:w="2090" w:type="dxa"/>
          </w:tcPr>
          <w:p w14:paraId="47385B74" w14:textId="77777777" w:rsidR="00C17069" w:rsidRDefault="00C17069" w:rsidP="00B811E3">
            <w:pPr>
              <w:widowControl/>
              <w:autoSpaceDE w:val="0"/>
              <w:autoSpaceDN w:val="0"/>
              <w:adjustRightInd w:val="0"/>
              <w:ind w:right="0"/>
              <w:rPr>
                <w:rFonts w:eastAsiaTheme="minorHAnsi"/>
                <w:spacing w:val="0"/>
                <w:sz w:val="18"/>
                <w:szCs w:val="18"/>
                <w:lang w:val="en-US"/>
              </w:rPr>
            </w:pPr>
            <w:r>
              <w:rPr>
                <w:rFonts w:eastAsiaTheme="minorHAnsi"/>
                <w:spacing w:val="0"/>
                <w:sz w:val="12"/>
                <w:szCs w:val="12"/>
                <w:lang w:val="en-US"/>
              </w:rPr>
              <w:t xml:space="preserve">14 </w:t>
            </w:r>
            <w:r>
              <w:rPr>
                <w:rFonts w:eastAsiaTheme="minorHAnsi"/>
                <w:spacing w:val="0"/>
                <w:sz w:val="18"/>
                <w:szCs w:val="18"/>
                <w:lang w:val="en-US"/>
              </w:rPr>
              <w:t>The ‘rebound effect’ indicates the consumer’s tendency to buy energy saving lamps that have higher luminous flux</w:t>
            </w:r>
          </w:p>
          <w:p w14:paraId="58195C49" w14:textId="77777777" w:rsidR="00C17069" w:rsidRDefault="00C17069" w:rsidP="00B811E3">
            <w:pPr>
              <w:ind w:right="0"/>
            </w:pPr>
            <w:proofErr w:type="gramStart"/>
            <w:r>
              <w:rPr>
                <w:rFonts w:eastAsiaTheme="minorHAnsi"/>
                <w:spacing w:val="0"/>
                <w:sz w:val="18"/>
                <w:szCs w:val="18"/>
                <w:lang w:val="en-US"/>
              </w:rPr>
              <w:t>than</w:t>
            </w:r>
            <w:proofErr w:type="gramEnd"/>
            <w:r>
              <w:rPr>
                <w:rFonts w:eastAsiaTheme="minorHAnsi"/>
                <w:spacing w:val="0"/>
                <w:sz w:val="18"/>
                <w:szCs w:val="18"/>
                <w:lang w:val="en-US"/>
              </w:rPr>
              <w:t xml:space="preserve"> the classic technology lamps they replace, and/or to let them burn for longer times.</w:t>
            </w:r>
          </w:p>
        </w:tc>
        <w:tc>
          <w:tcPr>
            <w:tcW w:w="3379" w:type="dxa"/>
            <w:shd w:val="clear" w:color="auto" w:fill="auto"/>
          </w:tcPr>
          <w:p w14:paraId="5FF652FB" w14:textId="77777777" w:rsidR="00C17069" w:rsidRPr="00652FB0" w:rsidRDefault="00C17069" w:rsidP="00B811E3">
            <w:pPr>
              <w:ind w:right="0"/>
            </w:pPr>
            <w:proofErr w:type="spellStart"/>
            <w:r>
              <w:t>Plse</w:t>
            </w:r>
            <w:proofErr w:type="spellEnd"/>
            <w:r>
              <w:t xml:space="preserve"> elaborate on the rebound effect and relate to the equivalence table in 244/2009</w:t>
            </w:r>
          </w:p>
        </w:tc>
        <w:tc>
          <w:tcPr>
            <w:tcW w:w="3379" w:type="dxa"/>
          </w:tcPr>
          <w:p w14:paraId="07DA47B2" w14:textId="77777777" w:rsidR="00C17069" w:rsidRPr="005D1C78" w:rsidRDefault="00C17069" w:rsidP="00B811E3">
            <w:pPr>
              <w:ind w:right="0"/>
            </w:pPr>
          </w:p>
        </w:tc>
        <w:tc>
          <w:tcPr>
            <w:tcW w:w="3380" w:type="dxa"/>
          </w:tcPr>
          <w:p w14:paraId="5BFD2957" w14:textId="77777777" w:rsidR="00C17069" w:rsidRPr="005D1C78" w:rsidRDefault="00C17069" w:rsidP="00B811E3"/>
        </w:tc>
      </w:tr>
    </w:tbl>
    <w:p w14:paraId="13FCD075" w14:textId="77777777" w:rsidR="00C17069" w:rsidRPr="005D1C78" w:rsidRDefault="00C17069" w:rsidP="00C17069"/>
    <w:p w14:paraId="6C8A755B" w14:textId="64D5DBF0" w:rsidR="00C17069" w:rsidRDefault="00C17069">
      <w:pPr>
        <w:spacing w:after="200"/>
        <w:ind w:right="0"/>
      </w:pPr>
      <w:r>
        <w:br w:type="page"/>
      </w:r>
    </w:p>
    <w:p w14:paraId="3A01A6AF" w14:textId="77777777" w:rsidR="00C17069" w:rsidRPr="005D1C78" w:rsidRDefault="00C17069" w:rsidP="00C17069">
      <w:pPr>
        <w:pStyle w:val="Heading1"/>
        <w:spacing w:before="0"/>
        <w:jc w:val="center"/>
        <w:rPr>
          <w:rFonts w:ascii="Calibri" w:hAnsi="Calibri" w:cs="Calibri"/>
          <w:color w:val="4F81BD" w:themeColor="accent1"/>
          <w:sz w:val="44"/>
        </w:rPr>
      </w:pPr>
    </w:p>
    <w:p w14:paraId="6C645592" w14:textId="77777777" w:rsidR="00C17069" w:rsidRPr="005D1C78" w:rsidRDefault="00C17069" w:rsidP="00C17069"/>
    <w:p w14:paraId="6C5EA251" w14:textId="77777777" w:rsidR="00C17069" w:rsidRPr="005D1C78" w:rsidRDefault="00C17069" w:rsidP="00C17069"/>
    <w:tbl>
      <w:tblPr>
        <w:tblStyle w:val="TableGrid"/>
        <w:tblW w:w="5105" w:type="pct"/>
        <w:tblLayout w:type="fixed"/>
        <w:tblLook w:val="04E0" w:firstRow="1" w:lastRow="1" w:firstColumn="1" w:lastColumn="0" w:noHBand="0" w:noVBand="1"/>
      </w:tblPr>
      <w:tblGrid>
        <w:gridCol w:w="808"/>
        <w:gridCol w:w="982"/>
        <w:gridCol w:w="558"/>
        <w:gridCol w:w="2234"/>
        <w:gridCol w:w="4883"/>
        <w:gridCol w:w="5021"/>
        <w:gridCol w:w="700"/>
      </w:tblGrid>
      <w:tr w:rsidR="00C17069" w:rsidRPr="003C68AF" w14:paraId="6B499E74" w14:textId="77777777" w:rsidTr="00B811E3">
        <w:trPr>
          <w:cantSplit/>
          <w:tblHeader/>
        </w:trPr>
        <w:tc>
          <w:tcPr>
            <w:tcW w:w="817" w:type="dxa"/>
            <w:shd w:val="clear" w:color="auto" w:fill="DBE5F1" w:themeFill="accent1" w:themeFillTint="33"/>
          </w:tcPr>
          <w:p w14:paraId="0585EE59" w14:textId="77777777" w:rsidR="00C17069" w:rsidRPr="003C68AF" w:rsidRDefault="00C17069" w:rsidP="00B811E3">
            <w:pPr>
              <w:ind w:right="0"/>
              <w:rPr>
                <w:rFonts w:asciiTheme="minorHAnsi" w:hAnsiTheme="minorHAnsi" w:cstheme="minorHAnsi"/>
                <w:b/>
              </w:rPr>
            </w:pPr>
            <w:r w:rsidRPr="003C68AF">
              <w:rPr>
                <w:rFonts w:asciiTheme="minorHAnsi" w:hAnsiTheme="minorHAnsi" w:cstheme="minorHAnsi"/>
                <w:b/>
                <w:bCs/>
              </w:rPr>
              <w:t>Task        #</w:t>
            </w:r>
          </w:p>
        </w:tc>
        <w:tc>
          <w:tcPr>
            <w:tcW w:w="995" w:type="dxa"/>
            <w:shd w:val="clear" w:color="auto" w:fill="DBE5F1" w:themeFill="accent1" w:themeFillTint="33"/>
          </w:tcPr>
          <w:p w14:paraId="7E15759D" w14:textId="77777777" w:rsidR="00C17069" w:rsidRPr="003C68AF" w:rsidRDefault="00C17069" w:rsidP="00B811E3">
            <w:pPr>
              <w:ind w:right="0"/>
              <w:rPr>
                <w:rFonts w:asciiTheme="minorHAnsi" w:hAnsiTheme="minorHAnsi" w:cstheme="minorHAnsi"/>
                <w:b/>
              </w:rPr>
            </w:pPr>
            <w:r w:rsidRPr="003C68AF">
              <w:rPr>
                <w:rFonts w:asciiTheme="minorHAnsi" w:hAnsiTheme="minorHAnsi" w:cstheme="minorHAnsi"/>
                <w:b/>
                <w:bCs/>
              </w:rPr>
              <w:t>Section  #</w:t>
            </w:r>
          </w:p>
        </w:tc>
        <w:tc>
          <w:tcPr>
            <w:tcW w:w="564" w:type="dxa"/>
            <w:shd w:val="clear" w:color="auto" w:fill="DBE5F1" w:themeFill="accent1" w:themeFillTint="33"/>
          </w:tcPr>
          <w:p w14:paraId="184E0B76" w14:textId="77777777" w:rsidR="00C17069" w:rsidRPr="003C68AF" w:rsidRDefault="00C17069" w:rsidP="00B811E3">
            <w:pPr>
              <w:ind w:right="0"/>
              <w:rPr>
                <w:rFonts w:asciiTheme="minorHAnsi" w:hAnsiTheme="minorHAnsi" w:cstheme="minorHAnsi"/>
                <w:b/>
              </w:rPr>
            </w:pPr>
            <w:r w:rsidRPr="003C68AF">
              <w:rPr>
                <w:rFonts w:asciiTheme="minorHAnsi" w:hAnsiTheme="minorHAnsi" w:cstheme="minorHAnsi"/>
                <w:b/>
                <w:bCs/>
              </w:rPr>
              <w:t>Page       #</w:t>
            </w:r>
          </w:p>
        </w:tc>
        <w:tc>
          <w:tcPr>
            <w:tcW w:w="2268" w:type="dxa"/>
            <w:shd w:val="clear" w:color="auto" w:fill="DBE5F1" w:themeFill="accent1" w:themeFillTint="33"/>
          </w:tcPr>
          <w:p w14:paraId="051A7846" w14:textId="77777777" w:rsidR="00C17069" w:rsidRPr="003C68AF" w:rsidRDefault="00C17069" w:rsidP="00B811E3">
            <w:pPr>
              <w:rPr>
                <w:rFonts w:asciiTheme="minorHAnsi" w:hAnsiTheme="minorHAnsi" w:cstheme="minorHAnsi"/>
                <w:b/>
              </w:rPr>
            </w:pPr>
            <w:r w:rsidRPr="003C68AF">
              <w:rPr>
                <w:rFonts w:asciiTheme="minorHAnsi" w:hAnsiTheme="minorHAnsi" w:cstheme="minorHAnsi"/>
                <w:b/>
              </w:rPr>
              <w:t>Topic</w:t>
            </w:r>
          </w:p>
        </w:tc>
        <w:tc>
          <w:tcPr>
            <w:tcW w:w="4962" w:type="dxa"/>
            <w:shd w:val="clear" w:color="auto" w:fill="DBE5F1" w:themeFill="accent1" w:themeFillTint="33"/>
          </w:tcPr>
          <w:p w14:paraId="6384D711" w14:textId="77777777" w:rsidR="00C17069" w:rsidRPr="003C68AF" w:rsidRDefault="00C17069" w:rsidP="00B811E3">
            <w:pPr>
              <w:rPr>
                <w:rFonts w:asciiTheme="minorHAnsi" w:hAnsiTheme="minorHAnsi" w:cstheme="minorHAnsi"/>
                <w:b/>
              </w:rPr>
            </w:pPr>
            <w:r w:rsidRPr="003C68AF">
              <w:rPr>
                <w:rFonts w:asciiTheme="minorHAnsi" w:hAnsiTheme="minorHAnsi" w:cstheme="minorHAnsi"/>
                <w:b/>
              </w:rPr>
              <w:t>Comment</w:t>
            </w:r>
          </w:p>
        </w:tc>
        <w:tc>
          <w:tcPr>
            <w:tcW w:w="5103" w:type="dxa"/>
            <w:shd w:val="clear" w:color="auto" w:fill="DBE5F1" w:themeFill="accent1" w:themeFillTint="33"/>
          </w:tcPr>
          <w:p w14:paraId="7A3B8582" w14:textId="77777777" w:rsidR="00C17069" w:rsidRPr="003C68AF" w:rsidRDefault="00C17069" w:rsidP="00B811E3">
            <w:pPr>
              <w:rPr>
                <w:rFonts w:asciiTheme="minorHAnsi" w:hAnsiTheme="minorHAnsi" w:cstheme="minorHAnsi"/>
                <w:b/>
              </w:rPr>
            </w:pPr>
            <w:r w:rsidRPr="003C68AF">
              <w:rPr>
                <w:rFonts w:asciiTheme="minorHAnsi" w:hAnsiTheme="minorHAnsi" w:cstheme="minorHAnsi"/>
                <w:b/>
              </w:rPr>
              <w:t>Proposed change</w:t>
            </w:r>
          </w:p>
        </w:tc>
        <w:tc>
          <w:tcPr>
            <w:tcW w:w="708" w:type="dxa"/>
            <w:shd w:val="clear" w:color="auto" w:fill="DBE5F1" w:themeFill="accent1" w:themeFillTint="33"/>
          </w:tcPr>
          <w:p w14:paraId="587DC05D" w14:textId="77777777" w:rsidR="00C17069" w:rsidRPr="003C68AF" w:rsidRDefault="00C17069" w:rsidP="00B811E3">
            <w:pPr>
              <w:rPr>
                <w:rFonts w:asciiTheme="minorHAnsi" w:hAnsiTheme="minorHAnsi" w:cstheme="minorHAnsi"/>
                <w:b/>
              </w:rPr>
            </w:pPr>
          </w:p>
        </w:tc>
      </w:tr>
      <w:tr w:rsidR="00C17069" w:rsidRPr="003C68AF" w14:paraId="472FA881" w14:textId="77777777" w:rsidTr="00B811E3">
        <w:tc>
          <w:tcPr>
            <w:tcW w:w="817" w:type="dxa"/>
          </w:tcPr>
          <w:p w14:paraId="0250ACD9" w14:textId="77777777" w:rsidR="00C17069" w:rsidRPr="003C68AF" w:rsidRDefault="00C17069" w:rsidP="00B811E3">
            <w:pPr>
              <w:ind w:right="0"/>
              <w:rPr>
                <w:rFonts w:asciiTheme="minorHAnsi" w:hAnsiTheme="minorHAnsi" w:cstheme="minorHAnsi"/>
              </w:rPr>
            </w:pPr>
          </w:p>
          <w:p w14:paraId="6C03B91A"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Task 4</w:t>
            </w:r>
          </w:p>
          <w:p w14:paraId="65E10418" w14:textId="77777777" w:rsidR="00C17069" w:rsidRPr="003C68AF" w:rsidRDefault="00C17069" w:rsidP="00B811E3">
            <w:pPr>
              <w:ind w:right="0"/>
              <w:rPr>
                <w:rFonts w:asciiTheme="minorHAnsi" w:hAnsiTheme="minorHAnsi" w:cstheme="minorHAnsi"/>
              </w:rPr>
            </w:pPr>
          </w:p>
        </w:tc>
        <w:tc>
          <w:tcPr>
            <w:tcW w:w="995" w:type="dxa"/>
          </w:tcPr>
          <w:p w14:paraId="046701D6"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Executive summary</w:t>
            </w:r>
          </w:p>
          <w:p w14:paraId="7EBE1E8B" w14:textId="77777777" w:rsidR="00C17069" w:rsidRPr="003C68AF" w:rsidRDefault="00C17069" w:rsidP="00B811E3">
            <w:pPr>
              <w:ind w:right="0"/>
              <w:rPr>
                <w:rFonts w:asciiTheme="minorHAnsi" w:hAnsiTheme="minorHAnsi" w:cstheme="minorHAnsi"/>
              </w:rPr>
            </w:pPr>
          </w:p>
          <w:p w14:paraId="5EA6B65A" w14:textId="77777777" w:rsidR="00C17069" w:rsidRPr="003C68AF" w:rsidRDefault="00C17069" w:rsidP="00B811E3">
            <w:pPr>
              <w:ind w:right="0"/>
              <w:rPr>
                <w:rFonts w:asciiTheme="minorHAnsi" w:hAnsiTheme="minorHAnsi" w:cstheme="minorHAnsi"/>
              </w:rPr>
            </w:pPr>
            <w:r>
              <w:rPr>
                <w:rFonts w:asciiTheme="minorHAnsi" w:hAnsiTheme="minorHAnsi" w:cstheme="minorHAnsi"/>
              </w:rPr>
              <w:t>Section 5.4.5</w:t>
            </w:r>
          </w:p>
        </w:tc>
        <w:tc>
          <w:tcPr>
            <w:tcW w:w="564" w:type="dxa"/>
          </w:tcPr>
          <w:p w14:paraId="3CAE7E47"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16</w:t>
            </w:r>
          </w:p>
        </w:tc>
        <w:tc>
          <w:tcPr>
            <w:tcW w:w="2268" w:type="dxa"/>
          </w:tcPr>
          <w:p w14:paraId="0D2F2CA2" w14:textId="77777777" w:rsidR="00C17069" w:rsidRPr="00A11DB6" w:rsidRDefault="00C17069" w:rsidP="00B811E3">
            <w:pPr>
              <w:widowControl/>
              <w:autoSpaceDE w:val="0"/>
              <w:autoSpaceDN w:val="0"/>
              <w:adjustRightInd w:val="0"/>
              <w:ind w:right="0"/>
              <w:rPr>
                <w:rFonts w:asciiTheme="minorHAnsi" w:eastAsiaTheme="minorHAnsi" w:hAnsiTheme="minorHAnsi" w:cstheme="minorHAnsi"/>
                <w:i/>
                <w:spacing w:val="0"/>
                <w:lang w:val="en-US"/>
              </w:rPr>
            </w:pPr>
            <w:r w:rsidRPr="00A11DB6">
              <w:rPr>
                <w:rFonts w:asciiTheme="minorHAnsi" w:eastAsiaTheme="minorHAnsi" w:hAnsiTheme="minorHAnsi" w:cstheme="minorHAnsi"/>
                <w:i/>
                <w:spacing w:val="0"/>
                <w:lang w:val="en-US"/>
              </w:rPr>
              <w:t>Plug-and-play solutions are available and do not</w:t>
            </w:r>
          </w:p>
          <w:p w14:paraId="65CFF739" w14:textId="77777777" w:rsidR="00C17069" w:rsidRPr="00A11DB6" w:rsidRDefault="00C17069" w:rsidP="00B811E3">
            <w:pPr>
              <w:widowControl/>
              <w:autoSpaceDE w:val="0"/>
              <w:autoSpaceDN w:val="0"/>
              <w:adjustRightInd w:val="0"/>
              <w:ind w:right="0"/>
              <w:rPr>
                <w:rFonts w:asciiTheme="minorHAnsi" w:eastAsiaTheme="minorHAnsi" w:hAnsiTheme="minorHAnsi" w:cstheme="minorHAnsi"/>
                <w:i/>
                <w:spacing w:val="0"/>
                <w:lang w:val="en-US"/>
              </w:rPr>
            </w:pPr>
            <w:r w:rsidRPr="00A11DB6">
              <w:rPr>
                <w:rFonts w:asciiTheme="minorHAnsi" w:eastAsiaTheme="minorHAnsi" w:hAnsiTheme="minorHAnsi" w:cstheme="minorHAnsi"/>
                <w:i/>
                <w:spacing w:val="0"/>
                <w:lang w:val="en-US"/>
              </w:rPr>
              <w:t>have these drawbacks, but they have higher cost to begin with, and some energy losses</w:t>
            </w:r>
          </w:p>
          <w:p w14:paraId="764C44A2" w14:textId="77777777" w:rsidR="00C17069" w:rsidRPr="003C68AF" w:rsidRDefault="00C17069" w:rsidP="00B811E3">
            <w:pPr>
              <w:ind w:right="0"/>
              <w:rPr>
                <w:rFonts w:asciiTheme="minorHAnsi" w:eastAsia="Calibri" w:hAnsiTheme="minorHAnsi" w:cstheme="minorHAnsi"/>
              </w:rPr>
            </w:pPr>
            <w:proofErr w:type="gramStart"/>
            <w:r w:rsidRPr="00A11DB6">
              <w:rPr>
                <w:rFonts w:asciiTheme="minorHAnsi" w:eastAsiaTheme="minorHAnsi" w:hAnsiTheme="minorHAnsi" w:cstheme="minorHAnsi"/>
                <w:i/>
                <w:spacing w:val="0"/>
                <w:lang w:val="en-US"/>
              </w:rPr>
              <w:t>from</w:t>
            </w:r>
            <w:proofErr w:type="gramEnd"/>
            <w:r w:rsidRPr="00A11DB6">
              <w:rPr>
                <w:rFonts w:asciiTheme="minorHAnsi" w:eastAsiaTheme="minorHAnsi" w:hAnsiTheme="minorHAnsi" w:cstheme="minorHAnsi"/>
                <w:i/>
                <w:spacing w:val="0"/>
                <w:lang w:val="en-US"/>
              </w:rPr>
              <w:t xml:space="preserve"> existing ballasts remain.</w:t>
            </w:r>
          </w:p>
        </w:tc>
        <w:tc>
          <w:tcPr>
            <w:tcW w:w="4962" w:type="dxa"/>
          </w:tcPr>
          <w:p w14:paraId="66F1EF83" w14:textId="77777777" w:rsidR="00C17069" w:rsidRPr="003C68AF" w:rsidRDefault="00C17069" w:rsidP="00B811E3">
            <w:pPr>
              <w:widowControl/>
              <w:ind w:right="0"/>
              <w:rPr>
                <w:rFonts w:asciiTheme="minorHAnsi" w:eastAsia="Calibri" w:hAnsiTheme="minorHAnsi" w:cstheme="minorHAnsi"/>
              </w:rPr>
            </w:pPr>
            <w:r w:rsidRPr="003C68AF">
              <w:rPr>
                <w:rFonts w:asciiTheme="minorHAnsi" w:hAnsiTheme="minorHAnsi" w:cstheme="minorHAnsi"/>
              </w:rPr>
              <w:t xml:space="preserve">Much statements on TLED are supported by US materials (DoE </w:t>
            </w:r>
            <w:proofErr w:type="spellStart"/>
            <w:r w:rsidRPr="003C68AF">
              <w:rPr>
                <w:rFonts w:asciiTheme="minorHAnsi" w:hAnsiTheme="minorHAnsi" w:cstheme="minorHAnsi"/>
              </w:rPr>
              <w:t>etc</w:t>
            </w:r>
            <w:proofErr w:type="spellEnd"/>
            <w:r w:rsidRPr="003C68AF">
              <w:rPr>
                <w:rFonts w:asciiTheme="minorHAnsi" w:hAnsiTheme="minorHAnsi" w:cstheme="minorHAnsi"/>
              </w:rPr>
              <w:t xml:space="preserve">). The situation towards TLED in Europe differs in terms of plug and play compatibility. </w:t>
            </w:r>
          </w:p>
        </w:tc>
        <w:tc>
          <w:tcPr>
            <w:tcW w:w="5103" w:type="dxa"/>
          </w:tcPr>
          <w:p w14:paraId="6A7E6DBF" w14:textId="77777777" w:rsidR="00C17069" w:rsidRDefault="00C17069" w:rsidP="00B811E3">
            <w:pPr>
              <w:ind w:right="0"/>
              <w:rPr>
                <w:rFonts w:asciiTheme="minorHAnsi" w:hAnsiTheme="minorHAnsi" w:cstheme="minorHAnsi"/>
              </w:rPr>
            </w:pPr>
            <w:r>
              <w:rPr>
                <w:rFonts w:asciiTheme="minorHAnsi" w:hAnsiTheme="minorHAnsi" w:cstheme="minorHAnsi"/>
              </w:rPr>
              <w:t>Revise the statements made, hence:</w:t>
            </w:r>
          </w:p>
          <w:p w14:paraId="0F452D94" w14:textId="77777777" w:rsidR="00C17069" w:rsidRPr="00A11DB6" w:rsidRDefault="00C17069" w:rsidP="00B811E3">
            <w:pPr>
              <w:widowControl/>
              <w:ind w:right="0"/>
              <w:rPr>
                <w:rFonts w:asciiTheme="minorHAnsi" w:hAnsiTheme="minorHAnsi" w:cstheme="minorHAnsi"/>
              </w:rPr>
            </w:pPr>
            <w:r w:rsidRPr="003C68AF">
              <w:rPr>
                <w:rFonts w:asciiTheme="minorHAnsi" w:hAnsiTheme="minorHAnsi" w:cstheme="minorHAnsi"/>
              </w:rPr>
              <w:t xml:space="preserve">From technology point of view Europe is more difficult to attack with TLED due to the different ballasts applied. Ballast compatibility and pin safety are issues in Europe that require more expensive/technically more difficult solutions. </w:t>
            </w:r>
            <w:r>
              <w:rPr>
                <w:rFonts w:asciiTheme="minorHAnsi" w:hAnsiTheme="minorHAnsi" w:cstheme="minorHAnsi"/>
              </w:rPr>
              <w:t xml:space="preserve"> </w:t>
            </w:r>
            <w:r w:rsidRPr="003C68AF">
              <w:rPr>
                <w:rFonts w:asciiTheme="minorHAnsi" w:hAnsiTheme="minorHAnsi" w:cstheme="minorHAnsi"/>
              </w:rPr>
              <w:t xml:space="preserve">Until June 2015, HF compatible lamp was offered by </w:t>
            </w:r>
            <w:r>
              <w:rPr>
                <w:rFonts w:asciiTheme="minorHAnsi" w:hAnsiTheme="minorHAnsi" w:cstheme="minorHAnsi"/>
              </w:rPr>
              <w:t>only one manufacturer</w:t>
            </w:r>
            <w:r w:rsidRPr="003C68AF">
              <w:rPr>
                <w:rFonts w:asciiTheme="minorHAnsi" w:hAnsiTheme="minorHAnsi" w:cstheme="minorHAnsi"/>
              </w:rPr>
              <w:t>, but still full compatibility with all HF ballasts installed on the market cannot be assured.</w:t>
            </w:r>
          </w:p>
        </w:tc>
        <w:tc>
          <w:tcPr>
            <w:tcW w:w="708" w:type="dxa"/>
          </w:tcPr>
          <w:p w14:paraId="6BF23D89" w14:textId="77777777" w:rsidR="00C17069" w:rsidRPr="003C68AF" w:rsidRDefault="00C17069" w:rsidP="00B811E3">
            <w:pPr>
              <w:rPr>
                <w:rFonts w:asciiTheme="minorHAnsi" w:hAnsiTheme="minorHAnsi" w:cstheme="minorHAnsi"/>
              </w:rPr>
            </w:pPr>
          </w:p>
        </w:tc>
      </w:tr>
      <w:tr w:rsidR="00C17069" w:rsidRPr="003C68AF" w14:paraId="783DA808" w14:textId="77777777" w:rsidTr="00B811E3">
        <w:tc>
          <w:tcPr>
            <w:tcW w:w="817" w:type="dxa"/>
          </w:tcPr>
          <w:p w14:paraId="0A6040BF"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Task 4</w:t>
            </w:r>
          </w:p>
          <w:p w14:paraId="29A097BC" w14:textId="77777777" w:rsidR="00C17069" w:rsidRPr="003C68AF" w:rsidRDefault="00C17069" w:rsidP="00B811E3">
            <w:pPr>
              <w:ind w:right="0"/>
              <w:rPr>
                <w:rFonts w:asciiTheme="minorHAnsi" w:hAnsiTheme="minorHAnsi" w:cstheme="minorHAnsi"/>
              </w:rPr>
            </w:pPr>
          </w:p>
        </w:tc>
        <w:tc>
          <w:tcPr>
            <w:tcW w:w="995" w:type="dxa"/>
          </w:tcPr>
          <w:p w14:paraId="10E9D18E"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Executive summary</w:t>
            </w:r>
          </w:p>
          <w:p w14:paraId="7518E849"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6.4</w:t>
            </w:r>
          </w:p>
        </w:tc>
        <w:tc>
          <w:tcPr>
            <w:tcW w:w="564" w:type="dxa"/>
          </w:tcPr>
          <w:p w14:paraId="57941F18"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21</w:t>
            </w:r>
          </w:p>
          <w:p w14:paraId="6879CF2E" w14:textId="77777777" w:rsidR="00C17069" w:rsidRPr="003C68AF" w:rsidRDefault="00C17069" w:rsidP="00B811E3">
            <w:pPr>
              <w:ind w:right="0"/>
              <w:rPr>
                <w:rFonts w:asciiTheme="minorHAnsi" w:hAnsiTheme="minorHAnsi" w:cstheme="minorHAnsi"/>
              </w:rPr>
            </w:pPr>
          </w:p>
          <w:p w14:paraId="240E1465"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183</w:t>
            </w:r>
          </w:p>
        </w:tc>
        <w:tc>
          <w:tcPr>
            <w:tcW w:w="2268" w:type="dxa"/>
          </w:tcPr>
          <w:p w14:paraId="4B3123C2" w14:textId="77777777" w:rsidR="00C17069" w:rsidRPr="003C68AF" w:rsidRDefault="00C17069" w:rsidP="00B811E3">
            <w:pPr>
              <w:ind w:right="0"/>
              <w:rPr>
                <w:rFonts w:asciiTheme="minorHAnsi" w:eastAsia="Calibri" w:hAnsiTheme="minorHAnsi" w:cstheme="minorHAnsi"/>
              </w:rPr>
            </w:pPr>
            <w:r w:rsidRPr="003C68AF">
              <w:rPr>
                <w:rFonts w:asciiTheme="minorHAnsi" w:eastAsia="Calibri" w:hAnsiTheme="minorHAnsi" w:cstheme="minorHAnsi"/>
              </w:rPr>
              <w:t>Collection and Recycling</w:t>
            </w:r>
          </w:p>
        </w:tc>
        <w:tc>
          <w:tcPr>
            <w:tcW w:w="4962" w:type="dxa"/>
          </w:tcPr>
          <w:p w14:paraId="3735A4BD" w14:textId="77777777" w:rsidR="00C17069" w:rsidRPr="003C68AF" w:rsidRDefault="00C17069" w:rsidP="00B811E3">
            <w:pPr>
              <w:ind w:right="0"/>
              <w:rPr>
                <w:rFonts w:asciiTheme="minorHAnsi" w:hAnsiTheme="minorHAnsi" w:cstheme="minorHAnsi"/>
                <w:lang w:val="en-US"/>
              </w:rPr>
            </w:pPr>
            <w:r w:rsidRPr="003C68AF">
              <w:rPr>
                <w:rFonts w:asciiTheme="minorHAnsi" w:hAnsiTheme="minorHAnsi" w:cstheme="minorHAnsi"/>
                <w:lang w:val="en-US"/>
              </w:rPr>
              <w:t xml:space="preserve">Check % values for collection and recycling </w:t>
            </w:r>
          </w:p>
        </w:tc>
        <w:tc>
          <w:tcPr>
            <w:tcW w:w="5103" w:type="dxa"/>
          </w:tcPr>
          <w:p w14:paraId="1FFDC9A5" w14:textId="77777777" w:rsidR="00C17069" w:rsidRPr="003C68AF" w:rsidRDefault="00C17069" w:rsidP="00B811E3">
            <w:pPr>
              <w:ind w:right="0"/>
              <w:rPr>
                <w:rFonts w:asciiTheme="minorHAnsi" w:hAnsiTheme="minorHAnsi" w:cstheme="minorHAnsi"/>
                <w:lang w:val="en-US"/>
              </w:rPr>
            </w:pPr>
          </w:p>
        </w:tc>
        <w:tc>
          <w:tcPr>
            <w:tcW w:w="708" w:type="dxa"/>
          </w:tcPr>
          <w:p w14:paraId="662D7064" w14:textId="77777777" w:rsidR="00C17069" w:rsidRPr="003C68AF" w:rsidRDefault="00C17069" w:rsidP="00B811E3">
            <w:pPr>
              <w:rPr>
                <w:rFonts w:asciiTheme="minorHAnsi" w:hAnsiTheme="minorHAnsi" w:cstheme="minorHAnsi"/>
              </w:rPr>
            </w:pPr>
          </w:p>
        </w:tc>
      </w:tr>
      <w:tr w:rsidR="00C17069" w:rsidRPr="003C68AF" w14:paraId="7C7AF72B" w14:textId="77777777" w:rsidTr="00B811E3">
        <w:tc>
          <w:tcPr>
            <w:tcW w:w="817" w:type="dxa"/>
          </w:tcPr>
          <w:p w14:paraId="706436D6"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Task 4</w:t>
            </w:r>
          </w:p>
          <w:p w14:paraId="4F989A37" w14:textId="77777777" w:rsidR="00C17069" w:rsidRPr="003C68AF" w:rsidRDefault="00C17069" w:rsidP="00B811E3">
            <w:pPr>
              <w:ind w:right="0"/>
              <w:rPr>
                <w:rFonts w:asciiTheme="minorHAnsi" w:hAnsiTheme="minorHAnsi" w:cstheme="minorHAnsi"/>
              </w:rPr>
            </w:pPr>
          </w:p>
        </w:tc>
        <w:tc>
          <w:tcPr>
            <w:tcW w:w="995" w:type="dxa"/>
          </w:tcPr>
          <w:p w14:paraId="2C610E2B"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Executive summary</w:t>
            </w:r>
          </w:p>
        </w:tc>
        <w:tc>
          <w:tcPr>
            <w:tcW w:w="564" w:type="dxa"/>
          </w:tcPr>
          <w:p w14:paraId="22694776"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21</w:t>
            </w:r>
          </w:p>
        </w:tc>
        <w:tc>
          <w:tcPr>
            <w:tcW w:w="2268" w:type="dxa"/>
          </w:tcPr>
          <w:p w14:paraId="3BE74A6A" w14:textId="77777777" w:rsidR="00C17069" w:rsidRPr="003C68AF" w:rsidRDefault="00C17069" w:rsidP="00B811E3">
            <w:pPr>
              <w:ind w:right="0"/>
              <w:rPr>
                <w:rFonts w:asciiTheme="minorHAnsi" w:eastAsia="Calibri" w:hAnsiTheme="minorHAnsi" w:cstheme="minorHAnsi"/>
              </w:rPr>
            </w:pPr>
            <w:r w:rsidRPr="003C68AF">
              <w:rPr>
                <w:rFonts w:asciiTheme="minorHAnsi" w:eastAsia="Calibri" w:hAnsiTheme="minorHAnsi" w:cstheme="minorHAnsi"/>
              </w:rPr>
              <w:t>Collection and Recycling – values for LED assumed the same as for LED</w:t>
            </w:r>
          </w:p>
        </w:tc>
        <w:tc>
          <w:tcPr>
            <w:tcW w:w="4962" w:type="dxa"/>
          </w:tcPr>
          <w:p w14:paraId="331EA877"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 xml:space="preserve">With higher penetration of LED in Consumer market, collection &amp; recycling rates should be lower vs discharge lamps (the same difference valid for </w:t>
            </w:r>
            <w:proofErr w:type="spellStart"/>
            <w:r w:rsidRPr="003C68AF">
              <w:rPr>
                <w:rFonts w:asciiTheme="minorHAnsi" w:hAnsiTheme="minorHAnsi" w:cstheme="minorHAnsi"/>
              </w:rPr>
              <w:t>TL+CFLni</w:t>
            </w:r>
            <w:proofErr w:type="spellEnd"/>
            <w:r w:rsidRPr="003C68AF">
              <w:rPr>
                <w:rFonts w:asciiTheme="minorHAnsi" w:hAnsiTheme="minorHAnsi" w:cstheme="minorHAnsi"/>
              </w:rPr>
              <w:t xml:space="preserve"> vs </w:t>
            </w:r>
            <w:proofErr w:type="spellStart"/>
            <w:r w:rsidRPr="003C68AF">
              <w:rPr>
                <w:rFonts w:asciiTheme="minorHAnsi" w:hAnsiTheme="minorHAnsi" w:cstheme="minorHAnsi"/>
              </w:rPr>
              <w:t>CFLi</w:t>
            </w:r>
            <w:proofErr w:type="spellEnd"/>
            <w:r w:rsidRPr="003C68AF">
              <w:rPr>
                <w:rFonts w:asciiTheme="minorHAnsi" w:hAnsiTheme="minorHAnsi" w:cstheme="minorHAnsi"/>
              </w:rPr>
              <w:t>)</w:t>
            </w:r>
          </w:p>
        </w:tc>
        <w:tc>
          <w:tcPr>
            <w:tcW w:w="5103" w:type="dxa"/>
          </w:tcPr>
          <w:p w14:paraId="3A319C8C"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Assume lower C&amp;R values for LED</w:t>
            </w:r>
          </w:p>
          <w:p w14:paraId="1C4F6CFF" w14:textId="77777777" w:rsidR="00C17069" w:rsidRPr="003C68AF" w:rsidRDefault="00C17069" w:rsidP="00B811E3">
            <w:pPr>
              <w:ind w:right="0"/>
              <w:rPr>
                <w:rFonts w:asciiTheme="minorHAnsi" w:hAnsiTheme="minorHAnsi" w:cstheme="minorHAnsi"/>
              </w:rPr>
            </w:pPr>
          </w:p>
        </w:tc>
        <w:tc>
          <w:tcPr>
            <w:tcW w:w="708" w:type="dxa"/>
          </w:tcPr>
          <w:p w14:paraId="2E1526B7" w14:textId="77777777" w:rsidR="00C17069" w:rsidRPr="003C68AF" w:rsidRDefault="00C17069" w:rsidP="00B811E3">
            <w:pPr>
              <w:rPr>
                <w:rFonts w:asciiTheme="minorHAnsi" w:hAnsiTheme="minorHAnsi" w:cstheme="minorHAnsi"/>
              </w:rPr>
            </w:pPr>
          </w:p>
        </w:tc>
      </w:tr>
      <w:tr w:rsidR="00C17069" w:rsidRPr="003C68AF" w14:paraId="243DCB0D" w14:textId="77777777" w:rsidTr="00B811E3">
        <w:tc>
          <w:tcPr>
            <w:tcW w:w="817" w:type="dxa"/>
          </w:tcPr>
          <w:p w14:paraId="146931C6"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Task 4</w:t>
            </w:r>
          </w:p>
        </w:tc>
        <w:tc>
          <w:tcPr>
            <w:tcW w:w="995" w:type="dxa"/>
          </w:tcPr>
          <w:p w14:paraId="22A723DE"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5.2</w:t>
            </w:r>
          </w:p>
        </w:tc>
        <w:tc>
          <w:tcPr>
            <w:tcW w:w="564" w:type="dxa"/>
          </w:tcPr>
          <w:p w14:paraId="0117B233"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80</w:t>
            </w:r>
          </w:p>
        </w:tc>
        <w:tc>
          <w:tcPr>
            <w:tcW w:w="2268" w:type="dxa"/>
          </w:tcPr>
          <w:p w14:paraId="051C0B00" w14:textId="77777777" w:rsidR="00C17069" w:rsidRPr="003C68AF" w:rsidRDefault="00C17069" w:rsidP="00B811E3">
            <w:pPr>
              <w:ind w:right="0"/>
              <w:rPr>
                <w:rFonts w:asciiTheme="minorHAnsi" w:eastAsia="Calibri" w:hAnsiTheme="minorHAnsi" w:cstheme="minorHAnsi"/>
              </w:rPr>
            </w:pPr>
            <w:r w:rsidRPr="003C68AF">
              <w:rPr>
                <w:rFonts w:asciiTheme="minorHAnsi" w:eastAsia="Calibri" w:hAnsiTheme="minorHAnsi" w:cstheme="minorHAnsi"/>
              </w:rPr>
              <w:t>T12 lamps availability in the EU market</w:t>
            </w:r>
          </w:p>
        </w:tc>
        <w:tc>
          <w:tcPr>
            <w:tcW w:w="4962" w:type="dxa"/>
          </w:tcPr>
          <w:p w14:paraId="1FDEA285"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The section mentions only TL-M RS lamps</w:t>
            </w:r>
            <w:r>
              <w:rPr>
                <w:rFonts w:asciiTheme="minorHAnsi" w:hAnsiTheme="minorHAnsi" w:cstheme="minorHAnsi"/>
              </w:rPr>
              <w:t xml:space="preserve"> (Philips name)</w:t>
            </w:r>
            <w:r w:rsidRPr="003C68AF">
              <w:rPr>
                <w:rFonts w:asciiTheme="minorHAnsi" w:hAnsiTheme="minorHAnsi" w:cstheme="minorHAnsi"/>
              </w:rPr>
              <w:t xml:space="preserve"> (T12 with external ignition strip), used for cold applications</w:t>
            </w:r>
            <w:r w:rsidRPr="003C68AF">
              <w:rPr>
                <w:rStyle w:val="FootnoteReference"/>
                <w:rFonts w:asciiTheme="minorHAnsi" w:hAnsiTheme="minorHAnsi" w:cstheme="minorHAnsi"/>
              </w:rPr>
              <w:footnoteReference w:id="2"/>
            </w:r>
            <w:r w:rsidRPr="003C68AF">
              <w:rPr>
                <w:rFonts w:asciiTheme="minorHAnsi" w:hAnsiTheme="minorHAnsi" w:cstheme="minorHAnsi"/>
              </w:rPr>
              <w:t>. However there are also other T12 lamps still available on the market and exempted from regulation due to “fire-proof” characteristics</w:t>
            </w:r>
            <w:r w:rsidRPr="003C68AF">
              <w:rPr>
                <w:rStyle w:val="FootnoteReference"/>
                <w:rFonts w:asciiTheme="minorHAnsi" w:hAnsiTheme="minorHAnsi" w:cstheme="minorHAnsi"/>
              </w:rPr>
              <w:footnoteReference w:id="3"/>
            </w:r>
            <w:r w:rsidRPr="003C68AF">
              <w:rPr>
                <w:rStyle w:val="FootnoteReference"/>
                <w:rFonts w:asciiTheme="minorHAnsi" w:hAnsiTheme="minorHAnsi" w:cstheme="minorHAnsi"/>
              </w:rPr>
              <w:footnoteReference w:id="4"/>
            </w:r>
            <w:r w:rsidRPr="003C68AF">
              <w:rPr>
                <w:rFonts w:asciiTheme="minorHAnsi" w:hAnsiTheme="minorHAnsi" w:cstheme="minorHAnsi"/>
              </w:rPr>
              <w:t>.</w:t>
            </w:r>
          </w:p>
        </w:tc>
        <w:tc>
          <w:tcPr>
            <w:tcW w:w="5103" w:type="dxa"/>
          </w:tcPr>
          <w:p w14:paraId="3B0D8B0A"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 xml:space="preserve">Those lamps should be added to an overview of T12 lamps being available and sold in EU market. Due to very specific lamp design </w:t>
            </w:r>
            <w:proofErr w:type="spellStart"/>
            <w:r w:rsidRPr="003C68AF">
              <w:rPr>
                <w:rFonts w:asciiTheme="minorHAnsi" w:hAnsiTheme="minorHAnsi" w:cstheme="minorHAnsi"/>
              </w:rPr>
              <w:t>incl</w:t>
            </w:r>
            <w:proofErr w:type="spellEnd"/>
            <w:r w:rsidRPr="003C68AF">
              <w:rPr>
                <w:rFonts w:asciiTheme="minorHAnsi" w:hAnsiTheme="minorHAnsi" w:cstheme="minorHAnsi"/>
              </w:rPr>
              <w:t xml:space="preserve"> cap – exemption cannot be easily dropped.</w:t>
            </w:r>
          </w:p>
        </w:tc>
        <w:tc>
          <w:tcPr>
            <w:tcW w:w="708" w:type="dxa"/>
          </w:tcPr>
          <w:p w14:paraId="119BE21A" w14:textId="77777777" w:rsidR="00C17069" w:rsidRPr="003C68AF" w:rsidRDefault="00C17069" w:rsidP="00B811E3">
            <w:pPr>
              <w:rPr>
                <w:rFonts w:asciiTheme="minorHAnsi" w:hAnsiTheme="minorHAnsi" w:cstheme="minorHAnsi"/>
              </w:rPr>
            </w:pPr>
          </w:p>
        </w:tc>
      </w:tr>
      <w:tr w:rsidR="00C17069" w:rsidRPr="003C68AF" w14:paraId="7D1AB8A6" w14:textId="77777777" w:rsidTr="00B811E3">
        <w:tc>
          <w:tcPr>
            <w:tcW w:w="817" w:type="dxa"/>
          </w:tcPr>
          <w:p w14:paraId="71A36FC3"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Task 4</w:t>
            </w:r>
          </w:p>
        </w:tc>
        <w:tc>
          <w:tcPr>
            <w:tcW w:w="995" w:type="dxa"/>
          </w:tcPr>
          <w:p w14:paraId="260374F7"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5.2</w:t>
            </w:r>
          </w:p>
        </w:tc>
        <w:tc>
          <w:tcPr>
            <w:tcW w:w="564" w:type="dxa"/>
          </w:tcPr>
          <w:p w14:paraId="6DAAFB93"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80</w:t>
            </w:r>
          </w:p>
        </w:tc>
        <w:tc>
          <w:tcPr>
            <w:tcW w:w="2268" w:type="dxa"/>
          </w:tcPr>
          <w:p w14:paraId="53821A0E" w14:textId="77777777" w:rsidR="00C17069" w:rsidRPr="003C68AF" w:rsidRDefault="00C17069" w:rsidP="00B811E3">
            <w:pPr>
              <w:ind w:right="0"/>
              <w:rPr>
                <w:rFonts w:asciiTheme="minorHAnsi" w:eastAsia="Calibri" w:hAnsiTheme="minorHAnsi" w:cstheme="minorHAnsi"/>
              </w:rPr>
            </w:pPr>
            <w:r w:rsidRPr="003C68AF">
              <w:rPr>
                <w:rFonts w:asciiTheme="minorHAnsi" w:eastAsiaTheme="minorHAnsi" w:hAnsiTheme="minorHAnsi" w:cstheme="minorHAnsi"/>
                <w:spacing w:val="0"/>
                <w:lang w:val="en-US"/>
              </w:rPr>
              <w:t>Substitute the LFL T12 by a LFL T8 tri-phosphor</w:t>
            </w:r>
          </w:p>
        </w:tc>
        <w:tc>
          <w:tcPr>
            <w:tcW w:w="4962" w:type="dxa"/>
          </w:tcPr>
          <w:p w14:paraId="412E7B41" w14:textId="77777777" w:rsidR="00C17069" w:rsidRPr="003C68AF" w:rsidRDefault="00C17069" w:rsidP="00B811E3">
            <w:pPr>
              <w:ind w:right="0"/>
              <w:rPr>
                <w:rFonts w:asciiTheme="minorHAnsi" w:eastAsia="Calibri" w:hAnsiTheme="minorHAnsi" w:cstheme="minorHAnsi"/>
              </w:rPr>
            </w:pPr>
            <w:r w:rsidRPr="003C68AF">
              <w:rPr>
                <w:rFonts w:asciiTheme="minorHAnsi" w:hAnsiTheme="minorHAnsi" w:cstheme="minorHAnsi"/>
              </w:rPr>
              <w:t>The lamp provided as an example of double envelope lamp is incorrect (</w:t>
            </w:r>
            <w:proofErr w:type="spellStart"/>
            <w:r w:rsidRPr="003C68AF">
              <w:rPr>
                <w:rFonts w:asciiTheme="minorHAnsi" w:hAnsiTheme="minorHAnsi" w:cstheme="minorHAnsi"/>
              </w:rPr>
              <w:t>Xtreme</w:t>
            </w:r>
            <w:proofErr w:type="spellEnd"/>
            <w:r w:rsidRPr="003C68AF">
              <w:rPr>
                <w:rFonts w:asciiTheme="minorHAnsi" w:hAnsiTheme="minorHAnsi" w:cstheme="minorHAnsi"/>
              </w:rPr>
              <w:t xml:space="preserve"> type from Philips is regular T8 </w:t>
            </w:r>
            <w:r w:rsidRPr="003C68AF">
              <w:rPr>
                <w:rFonts w:asciiTheme="minorHAnsi" w:hAnsiTheme="minorHAnsi" w:cstheme="minorHAnsi"/>
              </w:rPr>
              <w:lastRenderedPageBreak/>
              <w:t>lamp without extra envelope)</w:t>
            </w:r>
          </w:p>
        </w:tc>
        <w:tc>
          <w:tcPr>
            <w:tcW w:w="5103" w:type="dxa"/>
          </w:tcPr>
          <w:p w14:paraId="2F3B433B" w14:textId="77777777" w:rsidR="00C17069" w:rsidRPr="003C68AF" w:rsidRDefault="00C17069" w:rsidP="00B811E3">
            <w:pPr>
              <w:ind w:right="0"/>
              <w:rPr>
                <w:rFonts w:asciiTheme="minorHAnsi" w:eastAsia="Calibri" w:hAnsiTheme="minorHAnsi" w:cstheme="minorHAnsi"/>
              </w:rPr>
            </w:pPr>
            <w:r w:rsidRPr="003C68AF">
              <w:rPr>
                <w:rFonts w:asciiTheme="minorHAnsi" w:eastAsia="Calibri" w:hAnsiTheme="minorHAnsi" w:cstheme="minorHAnsi"/>
              </w:rPr>
              <w:lastRenderedPageBreak/>
              <w:t>Correct lamp is e.g. Polar portfolio (see ref</w:t>
            </w:r>
            <w:r w:rsidRPr="003C68AF">
              <w:rPr>
                <w:rStyle w:val="FootnoteReference"/>
                <w:rFonts w:asciiTheme="minorHAnsi" w:eastAsia="Calibri" w:hAnsiTheme="minorHAnsi" w:cstheme="minorHAnsi"/>
              </w:rPr>
              <w:footnoteReference w:id="5"/>
            </w:r>
            <w:r w:rsidRPr="003C68AF">
              <w:rPr>
                <w:rFonts w:asciiTheme="minorHAnsi" w:eastAsia="Calibri" w:hAnsiTheme="minorHAnsi" w:cstheme="minorHAnsi"/>
              </w:rPr>
              <w:t>)</w:t>
            </w:r>
          </w:p>
        </w:tc>
        <w:tc>
          <w:tcPr>
            <w:tcW w:w="708" w:type="dxa"/>
          </w:tcPr>
          <w:p w14:paraId="0F8F0760" w14:textId="77777777" w:rsidR="00C17069" w:rsidRPr="003C68AF" w:rsidRDefault="00C17069" w:rsidP="00B811E3">
            <w:pPr>
              <w:rPr>
                <w:rFonts w:asciiTheme="minorHAnsi" w:hAnsiTheme="minorHAnsi" w:cstheme="minorHAnsi"/>
                <w:highlight w:val="cyan"/>
              </w:rPr>
            </w:pPr>
          </w:p>
        </w:tc>
      </w:tr>
      <w:tr w:rsidR="00C17069" w:rsidRPr="003C68AF" w14:paraId="4EE5ED75" w14:textId="77777777" w:rsidTr="00B811E3">
        <w:tc>
          <w:tcPr>
            <w:tcW w:w="817" w:type="dxa"/>
          </w:tcPr>
          <w:p w14:paraId="052AC327"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lastRenderedPageBreak/>
              <w:t>Task 4</w:t>
            </w:r>
          </w:p>
        </w:tc>
        <w:tc>
          <w:tcPr>
            <w:tcW w:w="995" w:type="dxa"/>
          </w:tcPr>
          <w:p w14:paraId="548D529C" w14:textId="77777777" w:rsidR="00C17069" w:rsidRPr="003C68AF" w:rsidRDefault="00C17069" w:rsidP="00B811E3">
            <w:pPr>
              <w:ind w:right="0"/>
              <w:rPr>
                <w:rFonts w:asciiTheme="minorHAnsi" w:hAnsiTheme="minorHAnsi" w:cstheme="minorHAnsi"/>
              </w:rPr>
            </w:pPr>
            <w:r>
              <w:rPr>
                <w:rFonts w:asciiTheme="minorHAnsi" w:hAnsiTheme="minorHAnsi" w:cstheme="minorHAnsi"/>
              </w:rPr>
              <w:t>5.3.2</w:t>
            </w:r>
          </w:p>
        </w:tc>
        <w:tc>
          <w:tcPr>
            <w:tcW w:w="564" w:type="dxa"/>
          </w:tcPr>
          <w:p w14:paraId="4CA7014A" w14:textId="77777777" w:rsidR="00C17069" w:rsidRPr="003C68AF" w:rsidRDefault="00C17069" w:rsidP="00B811E3">
            <w:pPr>
              <w:ind w:right="0"/>
              <w:rPr>
                <w:rFonts w:asciiTheme="minorHAnsi" w:hAnsiTheme="minorHAnsi" w:cstheme="minorHAnsi"/>
              </w:rPr>
            </w:pPr>
            <w:r>
              <w:rPr>
                <w:rFonts w:asciiTheme="minorHAnsi" w:hAnsiTheme="minorHAnsi" w:cstheme="minorHAnsi"/>
              </w:rPr>
              <w:t>83</w:t>
            </w:r>
          </w:p>
        </w:tc>
        <w:tc>
          <w:tcPr>
            <w:tcW w:w="2268" w:type="dxa"/>
          </w:tcPr>
          <w:p w14:paraId="3DE94CD3" w14:textId="77777777" w:rsidR="00C17069" w:rsidRPr="00A11DB6" w:rsidRDefault="00C17069" w:rsidP="00B811E3">
            <w:pPr>
              <w:widowControl/>
              <w:autoSpaceDE w:val="0"/>
              <w:autoSpaceDN w:val="0"/>
              <w:adjustRightInd w:val="0"/>
              <w:ind w:right="0"/>
              <w:rPr>
                <w:rFonts w:asciiTheme="minorHAnsi" w:eastAsiaTheme="minorHAnsi" w:hAnsiTheme="minorHAnsi" w:cstheme="minorHAnsi"/>
                <w:i/>
                <w:spacing w:val="0"/>
                <w:lang w:val="en-US"/>
              </w:rPr>
            </w:pPr>
            <w:r w:rsidRPr="00A11DB6">
              <w:rPr>
                <w:rFonts w:asciiTheme="minorHAnsi" w:eastAsiaTheme="minorHAnsi" w:hAnsiTheme="minorHAnsi" w:cstheme="minorHAnsi"/>
                <w:i/>
                <w:spacing w:val="0"/>
                <w:lang w:val="en-US"/>
              </w:rPr>
              <w:t>The single limitation is that xenon-filled T8 Eco tubes are stated to be</w:t>
            </w:r>
          </w:p>
          <w:p w14:paraId="3A35056E" w14:textId="77777777" w:rsidR="00C17069" w:rsidRPr="00A11DB6" w:rsidRDefault="00C17069" w:rsidP="00B811E3">
            <w:pPr>
              <w:widowControl/>
              <w:autoSpaceDE w:val="0"/>
              <w:autoSpaceDN w:val="0"/>
              <w:adjustRightInd w:val="0"/>
              <w:ind w:right="0"/>
              <w:rPr>
                <w:rFonts w:asciiTheme="minorHAnsi" w:eastAsiaTheme="minorHAnsi" w:hAnsiTheme="minorHAnsi" w:cstheme="minorHAnsi"/>
                <w:b/>
                <w:i/>
                <w:spacing w:val="0"/>
                <w:lang w:val="en-US"/>
              </w:rPr>
            </w:pPr>
            <w:r w:rsidRPr="00A11DB6">
              <w:rPr>
                <w:rFonts w:asciiTheme="minorHAnsi" w:eastAsiaTheme="minorHAnsi" w:hAnsiTheme="minorHAnsi" w:cstheme="minorHAnsi"/>
                <w:i/>
                <w:spacing w:val="0"/>
                <w:lang w:val="en-US"/>
              </w:rPr>
              <w:t xml:space="preserve">sensitive to ambient temperature variations, </w:t>
            </w:r>
            <w:r w:rsidRPr="00A11DB6">
              <w:rPr>
                <w:rFonts w:asciiTheme="minorHAnsi" w:eastAsiaTheme="minorHAnsi" w:hAnsiTheme="minorHAnsi" w:cstheme="minorHAnsi"/>
                <w:b/>
                <w:i/>
                <w:spacing w:val="0"/>
                <w:lang w:val="en-US"/>
              </w:rPr>
              <w:t>so this retrofit can only be applied</w:t>
            </w:r>
          </w:p>
          <w:p w14:paraId="1F1E3171" w14:textId="77777777" w:rsidR="00C17069" w:rsidRPr="003C68AF" w:rsidRDefault="00C17069" w:rsidP="00B811E3">
            <w:pPr>
              <w:ind w:right="0"/>
              <w:rPr>
                <w:rFonts w:asciiTheme="minorHAnsi" w:eastAsiaTheme="minorHAnsi" w:hAnsiTheme="minorHAnsi" w:cstheme="minorHAnsi"/>
                <w:spacing w:val="0"/>
                <w:lang w:val="en-US"/>
              </w:rPr>
            </w:pPr>
            <w:proofErr w:type="gramStart"/>
            <w:r w:rsidRPr="00A11DB6">
              <w:rPr>
                <w:rFonts w:asciiTheme="minorHAnsi" w:eastAsiaTheme="minorHAnsi" w:hAnsiTheme="minorHAnsi" w:cstheme="minorHAnsi"/>
                <w:b/>
                <w:i/>
                <w:spacing w:val="0"/>
                <w:lang w:val="en-US"/>
              </w:rPr>
              <w:t>in</w:t>
            </w:r>
            <w:proofErr w:type="gramEnd"/>
            <w:r w:rsidRPr="00A11DB6">
              <w:rPr>
                <w:rFonts w:asciiTheme="minorHAnsi" w:eastAsiaTheme="minorHAnsi" w:hAnsiTheme="minorHAnsi" w:cstheme="minorHAnsi"/>
                <w:b/>
                <w:i/>
                <w:spacing w:val="0"/>
                <w:lang w:val="en-US"/>
              </w:rPr>
              <w:t xml:space="preserve"> standard temperature conditions.</w:t>
            </w:r>
          </w:p>
        </w:tc>
        <w:tc>
          <w:tcPr>
            <w:tcW w:w="4962" w:type="dxa"/>
          </w:tcPr>
          <w:p w14:paraId="645B85C7" w14:textId="77777777" w:rsidR="00C17069" w:rsidRPr="003C68AF" w:rsidRDefault="00C17069" w:rsidP="00B811E3">
            <w:pPr>
              <w:ind w:right="0"/>
              <w:rPr>
                <w:rFonts w:asciiTheme="minorHAnsi" w:hAnsiTheme="minorHAnsi" w:cstheme="minorHAnsi"/>
              </w:rPr>
            </w:pPr>
            <w:r>
              <w:rPr>
                <w:rFonts w:asciiTheme="minorHAnsi" w:hAnsiTheme="minorHAnsi" w:cstheme="minorHAnsi"/>
              </w:rPr>
              <w:t>The statement is incorrect, lamps can be applied in different ambient temperatures, although this is not preferred (performance differences may occur)</w:t>
            </w:r>
          </w:p>
        </w:tc>
        <w:tc>
          <w:tcPr>
            <w:tcW w:w="5103" w:type="dxa"/>
          </w:tcPr>
          <w:p w14:paraId="2628194F" w14:textId="77777777" w:rsidR="00C17069" w:rsidRPr="003C68AF" w:rsidRDefault="00C17069" w:rsidP="00B811E3">
            <w:pPr>
              <w:widowControl/>
              <w:autoSpaceDE w:val="0"/>
              <w:autoSpaceDN w:val="0"/>
              <w:adjustRightInd w:val="0"/>
              <w:ind w:right="0"/>
              <w:rPr>
                <w:rFonts w:asciiTheme="minorHAnsi" w:eastAsia="Calibri" w:hAnsiTheme="minorHAnsi" w:cstheme="minorHAnsi"/>
              </w:rPr>
            </w:pPr>
            <w:r>
              <w:rPr>
                <w:rFonts w:asciiTheme="minorHAnsi" w:eastAsia="Calibri" w:hAnsiTheme="minorHAnsi" w:cstheme="minorHAnsi"/>
              </w:rPr>
              <w:t>Remove the statement: “</w:t>
            </w:r>
            <w:r w:rsidRPr="001A3880">
              <w:rPr>
                <w:rFonts w:asciiTheme="minorHAnsi" w:eastAsiaTheme="minorHAnsi" w:hAnsiTheme="minorHAnsi" w:cstheme="minorHAnsi"/>
                <w:spacing w:val="0"/>
                <w:lang w:val="en-US"/>
              </w:rPr>
              <w:t>so this retrofit can only be applied</w:t>
            </w:r>
            <w:r>
              <w:rPr>
                <w:rFonts w:asciiTheme="minorHAnsi" w:eastAsiaTheme="minorHAnsi" w:hAnsiTheme="minorHAnsi" w:cstheme="minorHAnsi"/>
                <w:spacing w:val="0"/>
                <w:lang w:val="en-US"/>
              </w:rPr>
              <w:t xml:space="preserve"> </w:t>
            </w:r>
            <w:r w:rsidRPr="001A3880">
              <w:rPr>
                <w:rFonts w:asciiTheme="minorHAnsi" w:eastAsiaTheme="minorHAnsi" w:hAnsiTheme="minorHAnsi" w:cstheme="minorHAnsi"/>
                <w:spacing w:val="0"/>
                <w:lang w:val="en-US"/>
              </w:rPr>
              <w:t>in standard temperature conditions.</w:t>
            </w:r>
            <w:r>
              <w:rPr>
                <w:rFonts w:asciiTheme="minorHAnsi" w:eastAsiaTheme="minorHAnsi" w:hAnsiTheme="minorHAnsi" w:cstheme="minorHAnsi"/>
                <w:spacing w:val="0"/>
                <w:lang w:val="en-US"/>
              </w:rPr>
              <w:t>”</w:t>
            </w:r>
          </w:p>
        </w:tc>
        <w:tc>
          <w:tcPr>
            <w:tcW w:w="708" w:type="dxa"/>
          </w:tcPr>
          <w:p w14:paraId="6B5FA265" w14:textId="77777777" w:rsidR="00C17069" w:rsidRPr="003C68AF" w:rsidRDefault="00C17069" w:rsidP="00B811E3">
            <w:pPr>
              <w:rPr>
                <w:rFonts w:asciiTheme="minorHAnsi" w:hAnsiTheme="minorHAnsi" w:cstheme="minorHAnsi"/>
                <w:highlight w:val="cyan"/>
              </w:rPr>
            </w:pPr>
          </w:p>
        </w:tc>
      </w:tr>
      <w:tr w:rsidR="00C17069" w:rsidRPr="003C68AF" w14:paraId="360D9ED1" w14:textId="77777777" w:rsidTr="00B811E3">
        <w:trPr>
          <w:trHeight w:val="536"/>
        </w:trPr>
        <w:tc>
          <w:tcPr>
            <w:tcW w:w="817" w:type="dxa"/>
          </w:tcPr>
          <w:p w14:paraId="65D38994"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4</w:t>
            </w:r>
          </w:p>
        </w:tc>
        <w:tc>
          <w:tcPr>
            <w:tcW w:w="995" w:type="dxa"/>
          </w:tcPr>
          <w:p w14:paraId="7F51D811" w14:textId="77777777" w:rsidR="00C17069" w:rsidRPr="003C68AF" w:rsidRDefault="00C17069" w:rsidP="00B811E3">
            <w:pPr>
              <w:ind w:right="-94"/>
              <w:rPr>
                <w:rFonts w:asciiTheme="minorHAnsi" w:hAnsiTheme="minorHAnsi" w:cstheme="minorHAnsi"/>
              </w:rPr>
            </w:pPr>
            <w:r w:rsidRPr="003C68AF">
              <w:rPr>
                <w:rFonts w:asciiTheme="minorHAnsi" w:hAnsiTheme="minorHAnsi" w:cstheme="minorHAnsi"/>
              </w:rPr>
              <w:t>5.4</w:t>
            </w:r>
          </w:p>
        </w:tc>
        <w:tc>
          <w:tcPr>
            <w:tcW w:w="564" w:type="dxa"/>
          </w:tcPr>
          <w:p w14:paraId="01DAF433" w14:textId="77777777" w:rsidR="00C17069" w:rsidRPr="003C68AF" w:rsidRDefault="00C17069" w:rsidP="00B811E3">
            <w:pPr>
              <w:ind w:right="-77"/>
              <w:rPr>
                <w:rFonts w:asciiTheme="minorHAnsi" w:hAnsiTheme="minorHAnsi" w:cstheme="minorHAnsi"/>
              </w:rPr>
            </w:pPr>
            <w:r w:rsidRPr="003C68AF">
              <w:rPr>
                <w:rFonts w:asciiTheme="minorHAnsi" w:hAnsiTheme="minorHAnsi" w:cstheme="minorHAnsi"/>
              </w:rPr>
              <w:t>85</w:t>
            </w:r>
          </w:p>
        </w:tc>
        <w:tc>
          <w:tcPr>
            <w:tcW w:w="2268" w:type="dxa"/>
          </w:tcPr>
          <w:p w14:paraId="47D6EAEB" w14:textId="77777777" w:rsidR="00C17069" w:rsidRPr="003C68AF" w:rsidRDefault="00C17069" w:rsidP="00B811E3">
            <w:pPr>
              <w:ind w:right="-120"/>
              <w:rPr>
                <w:rFonts w:asciiTheme="minorHAnsi" w:hAnsiTheme="minorHAnsi" w:cstheme="minorHAnsi"/>
              </w:rPr>
            </w:pPr>
            <w:r w:rsidRPr="003C68AF">
              <w:rPr>
                <w:rFonts w:asciiTheme="minorHAnsi" w:hAnsiTheme="minorHAnsi" w:cstheme="minorHAnsi"/>
              </w:rPr>
              <w:t>The longest T8 lamp of 1750cm</w:t>
            </w:r>
          </w:p>
        </w:tc>
        <w:tc>
          <w:tcPr>
            <w:tcW w:w="4962" w:type="dxa"/>
          </w:tcPr>
          <w:p w14:paraId="1AFF2187" w14:textId="77777777" w:rsidR="00C17069" w:rsidRPr="003C68AF" w:rsidRDefault="00C17069" w:rsidP="00B811E3">
            <w:pPr>
              <w:ind w:right="-120"/>
              <w:rPr>
                <w:rFonts w:asciiTheme="minorHAnsi" w:hAnsiTheme="minorHAnsi" w:cstheme="minorHAnsi"/>
              </w:rPr>
            </w:pPr>
            <w:r w:rsidRPr="003C68AF">
              <w:rPr>
                <w:rFonts w:asciiTheme="minorHAnsi" w:hAnsiTheme="minorHAnsi" w:cstheme="minorHAnsi"/>
              </w:rPr>
              <w:t>Incorrect</w:t>
            </w:r>
          </w:p>
        </w:tc>
        <w:tc>
          <w:tcPr>
            <w:tcW w:w="5103" w:type="dxa"/>
          </w:tcPr>
          <w:p w14:paraId="48B5EE97" w14:textId="77777777" w:rsidR="00C17069" w:rsidRPr="003C68AF" w:rsidRDefault="00C17069" w:rsidP="00B811E3">
            <w:pPr>
              <w:ind w:right="-120"/>
              <w:rPr>
                <w:rFonts w:asciiTheme="minorHAnsi" w:hAnsiTheme="minorHAnsi" w:cstheme="minorHAnsi"/>
              </w:rPr>
            </w:pPr>
            <w:r w:rsidRPr="003C68AF">
              <w:rPr>
                <w:rFonts w:asciiTheme="minorHAnsi" w:hAnsiTheme="minorHAnsi" w:cstheme="minorHAnsi"/>
              </w:rPr>
              <w:t>175cm</w:t>
            </w:r>
          </w:p>
        </w:tc>
        <w:tc>
          <w:tcPr>
            <w:tcW w:w="708" w:type="dxa"/>
          </w:tcPr>
          <w:p w14:paraId="068EF9B1" w14:textId="77777777" w:rsidR="00C17069" w:rsidRPr="003C68AF" w:rsidRDefault="00C17069" w:rsidP="00B811E3">
            <w:pPr>
              <w:rPr>
                <w:rFonts w:asciiTheme="minorHAnsi" w:hAnsiTheme="minorHAnsi" w:cstheme="minorHAnsi"/>
                <w:highlight w:val="cyan"/>
              </w:rPr>
            </w:pPr>
          </w:p>
        </w:tc>
      </w:tr>
      <w:tr w:rsidR="00C17069" w:rsidRPr="003C68AF" w14:paraId="0F0164A4" w14:textId="77777777" w:rsidTr="00B811E3">
        <w:trPr>
          <w:trHeight w:val="536"/>
        </w:trPr>
        <w:tc>
          <w:tcPr>
            <w:tcW w:w="817" w:type="dxa"/>
          </w:tcPr>
          <w:p w14:paraId="43929583"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4</w:t>
            </w:r>
          </w:p>
        </w:tc>
        <w:tc>
          <w:tcPr>
            <w:tcW w:w="995" w:type="dxa"/>
          </w:tcPr>
          <w:p w14:paraId="697E9768" w14:textId="77777777" w:rsidR="00C17069" w:rsidRPr="003C68AF" w:rsidRDefault="00C17069" w:rsidP="00B811E3">
            <w:pPr>
              <w:ind w:right="-94"/>
              <w:rPr>
                <w:rFonts w:asciiTheme="minorHAnsi" w:hAnsiTheme="minorHAnsi" w:cstheme="minorHAnsi"/>
              </w:rPr>
            </w:pPr>
            <w:r w:rsidRPr="003C68AF">
              <w:rPr>
                <w:rFonts w:asciiTheme="minorHAnsi" w:hAnsiTheme="minorHAnsi" w:cstheme="minorHAnsi"/>
              </w:rPr>
              <w:t>5.4</w:t>
            </w:r>
          </w:p>
        </w:tc>
        <w:tc>
          <w:tcPr>
            <w:tcW w:w="564" w:type="dxa"/>
          </w:tcPr>
          <w:p w14:paraId="3883624C" w14:textId="77777777" w:rsidR="00C17069" w:rsidRPr="003C68AF" w:rsidRDefault="00C17069" w:rsidP="00B811E3">
            <w:pPr>
              <w:ind w:right="-77"/>
              <w:rPr>
                <w:rFonts w:asciiTheme="minorHAnsi" w:hAnsiTheme="minorHAnsi" w:cstheme="minorHAnsi"/>
              </w:rPr>
            </w:pPr>
            <w:r w:rsidRPr="003C68AF">
              <w:rPr>
                <w:rFonts w:asciiTheme="minorHAnsi" w:hAnsiTheme="minorHAnsi" w:cstheme="minorHAnsi"/>
              </w:rPr>
              <w:t>85</w:t>
            </w:r>
          </w:p>
        </w:tc>
        <w:tc>
          <w:tcPr>
            <w:tcW w:w="2268" w:type="dxa"/>
          </w:tcPr>
          <w:p w14:paraId="235EDE92" w14:textId="77777777" w:rsidR="00C17069" w:rsidRPr="003C68AF" w:rsidRDefault="00C17069" w:rsidP="00B811E3">
            <w:pPr>
              <w:ind w:right="-77"/>
              <w:rPr>
                <w:rFonts w:asciiTheme="minorHAnsi" w:hAnsiTheme="minorHAnsi" w:cstheme="minorHAnsi"/>
              </w:rPr>
            </w:pPr>
            <w:r w:rsidRPr="001A3880">
              <w:rPr>
                <w:rFonts w:asciiTheme="minorHAnsi" w:hAnsiTheme="minorHAnsi" w:cstheme="minorHAnsi"/>
              </w:rPr>
              <w:t xml:space="preserve">LFL T8t can be equipped with </w:t>
            </w:r>
            <w:r>
              <w:rPr>
                <w:rFonts w:asciiTheme="minorHAnsi" w:hAnsiTheme="minorHAnsi" w:cstheme="minorHAnsi"/>
              </w:rPr>
              <w:t xml:space="preserve">…. </w:t>
            </w:r>
            <w:r w:rsidRPr="001A3880">
              <w:rPr>
                <w:rFonts w:asciiTheme="minorHAnsi" w:hAnsiTheme="minorHAnsi" w:cstheme="minorHAnsi"/>
              </w:rPr>
              <w:t>allows a significant efficacy gain, of 10% or more</w:t>
            </w:r>
            <w:r>
              <w:rPr>
                <w:rFonts w:asciiTheme="minorHAnsi" w:hAnsiTheme="minorHAnsi" w:cstheme="minorHAnsi"/>
              </w:rPr>
              <w:t xml:space="preserve"> … </w:t>
            </w:r>
          </w:p>
        </w:tc>
        <w:tc>
          <w:tcPr>
            <w:tcW w:w="4962" w:type="dxa"/>
          </w:tcPr>
          <w:p w14:paraId="098D3C2B" w14:textId="77777777" w:rsidR="00C17069" w:rsidRPr="003C68AF" w:rsidRDefault="00C17069" w:rsidP="00B811E3">
            <w:pPr>
              <w:ind w:right="-120"/>
              <w:rPr>
                <w:rFonts w:asciiTheme="minorHAnsi" w:hAnsiTheme="minorHAnsi" w:cstheme="minorHAnsi"/>
              </w:rPr>
            </w:pPr>
            <w:r>
              <w:rPr>
                <w:rFonts w:asciiTheme="minorHAnsi" w:hAnsiTheme="minorHAnsi" w:cstheme="minorHAnsi"/>
              </w:rPr>
              <w:t xml:space="preserve">The report wrongly assumes that lumen output stays at the same level with HF operation, hence 10% (or more) is not correct considering existing lamps (retrofit, one-one-one replacements) with installed ballast. </w:t>
            </w:r>
          </w:p>
        </w:tc>
        <w:tc>
          <w:tcPr>
            <w:tcW w:w="5103" w:type="dxa"/>
          </w:tcPr>
          <w:p w14:paraId="0A49E8C9" w14:textId="77777777" w:rsidR="00C17069" w:rsidRPr="003C68AF" w:rsidRDefault="00C17069" w:rsidP="00B811E3">
            <w:pPr>
              <w:ind w:right="-120"/>
              <w:rPr>
                <w:rFonts w:asciiTheme="minorHAnsi" w:hAnsiTheme="minorHAnsi" w:cstheme="minorHAnsi"/>
              </w:rPr>
            </w:pPr>
            <w:r>
              <w:rPr>
                <w:rFonts w:asciiTheme="minorHAnsi" w:hAnsiTheme="minorHAnsi" w:cstheme="minorHAnsi"/>
              </w:rPr>
              <w:t>Correction should be made that reflects the fact that lower current may lead to lower lumen output.</w:t>
            </w:r>
          </w:p>
        </w:tc>
        <w:tc>
          <w:tcPr>
            <w:tcW w:w="708" w:type="dxa"/>
          </w:tcPr>
          <w:p w14:paraId="50740C1C" w14:textId="77777777" w:rsidR="00C17069" w:rsidRPr="003C68AF" w:rsidRDefault="00C17069" w:rsidP="00B811E3">
            <w:pPr>
              <w:rPr>
                <w:rFonts w:asciiTheme="minorHAnsi" w:hAnsiTheme="minorHAnsi" w:cstheme="minorHAnsi"/>
                <w:highlight w:val="cyan"/>
              </w:rPr>
            </w:pPr>
          </w:p>
        </w:tc>
      </w:tr>
      <w:tr w:rsidR="00C17069" w:rsidRPr="003C68AF" w14:paraId="520728C7" w14:textId="77777777" w:rsidTr="00B811E3">
        <w:trPr>
          <w:trHeight w:val="487"/>
        </w:trPr>
        <w:tc>
          <w:tcPr>
            <w:tcW w:w="817" w:type="dxa"/>
          </w:tcPr>
          <w:p w14:paraId="437EB295"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4</w:t>
            </w:r>
          </w:p>
        </w:tc>
        <w:tc>
          <w:tcPr>
            <w:tcW w:w="995" w:type="dxa"/>
          </w:tcPr>
          <w:p w14:paraId="6E95D126" w14:textId="77777777" w:rsidR="00C17069" w:rsidRPr="003C68AF" w:rsidRDefault="00C17069" w:rsidP="00B811E3">
            <w:pPr>
              <w:ind w:right="-94"/>
              <w:rPr>
                <w:rFonts w:asciiTheme="minorHAnsi" w:hAnsiTheme="minorHAnsi" w:cstheme="minorHAnsi"/>
              </w:rPr>
            </w:pPr>
            <w:r w:rsidRPr="003C68AF">
              <w:rPr>
                <w:rFonts w:asciiTheme="minorHAnsi" w:hAnsiTheme="minorHAnsi" w:cstheme="minorHAnsi"/>
              </w:rPr>
              <w:t>5.4.3</w:t>
            </w:r>
          </w:p>
        </w:tc>
        <w:tc>
          <w:tcPr>
            <w:tcW w:w="564" w:type="dxa"/>
          </w:tcPr>
          <w:p w14:paraId="0485828A" w14:textId="77777777" w:rsidR="00C17069" w:rsidRPr="003C68AF" w:rsidRDefault="00C17069" w:rsidP="00B811E3">
            <w:pPr>
              <w:ind w:right="-77"/>
              <w:rPr>
                <w:rFonts w:asciiTheme="minorHAnsi" w:hAnsiTheme="minorHAnsi" w:cstheme="minorHAnsi"/>
              </w:rPr>
            </w:pPr>
            <w:r w:rsidRPr="003C68AF">
              <w:rPr>
                <w:rFonts w:asciiTheme="minorHAnsi" w:hAnsiTheme="minorHAnsi" w:cstheme="minorHAnsi"/>
              </w:rPr>
              <w:t>87</w:t>
            </w:r>
          </w:p>
        </w:tc>
        <w:tc>
          <w:tcPr>
            <w:tcW w:w="2268" w:type="dxa"/>
          </w:tcPr>
          <w:p w14:paraId="10ED929F" w14:textId="77777777" w:rsidR="00C17069" w:rsidRPr="003C68AF" w:rsidRDefault="00C17069" w:rsidP="00B811E3">
            <w:pPr>
              <w:ind w:right="-77"/>
              <w:rPr>
                <w:rFonts w:asciiTheme="minorHAnsi" w:hAnsiTheme="minorHAnsi" w:cstheme="minorHAnsi"/>
              </w:rPr>
            </w:pPr>
            <w:r w:rsidRPr="003C68AF">
              <w:rPr>
                <w:rFonts w:asciiTheme="minorHAnsi" w:hAnsiTheme="minorHAnsi" w:cstheme="minorHAnsi"/>
              </w:rPr>
              <w:t>Table 20</w:t>
            </w:r>
          </w:p>
        </w:tc>
        <w:tc>
          <w:tcPr>
            <w:tcW w:w="4962" w:type="dxa"/>
          </w:tcPr>
          <w:p w14:paraId="051E90DE" w14:textId="77777777" w:rsidR="00C17069" w:rsidRPr="003C68AF" w:rsidRDefault="00C17069" w:rsidP="00B811E3">
            <w:pPr>
              <w:ind w:right="-120"/>
              <w:rPr>
                <w:rFonts w:asciiTheme="minorHAnsi" w:hAnsiTheme="minorHAnsi" w:cstheme="minorHAnsi"/>
              </w:rPr>
            </w:pPr>
          </w:p>
        </w:tc>
        <w:tc>
          <w:tcPr>
            <w:tcW w:w="5103" w:type="dxa"/>
          </w:tcPr>
          <w:p w14:paraId="00A8437C" w14:textId="77777777" w:rsidR="00C17069" w:rsidRPr="003C68AF" w:rsidRDefault="00C17069" w:rsidP="00B811E3">
            <w:pPr>
              <w:rPr>
                <w:rFonts w:asciiTheme="minorHAnsi" w:hAnsiTheme="minorHAnsi" w:cstheme="minorHAnsi"/>
              </w:rPr>
            </w:pPr>
            <w:r w:rsidRPr="003C68AF">
              <w:rPr>
                <w:rFonts w:asciiTheme="minorHAnsi" w:hAnsiTheme="minorHAnsi" w:cstheme="minorHAnsi"/>
              </w:rPr>
              <w:t>For completeness reason 50W non-Japanese product can also be added with lm/W = 100</w:t>
            </w:r>
            <w:r w:rsidRPr="003C68AF">
              <w:rPr>
                <w:rStyle w:val="FootnoteReference"/>
                <w:rFonts w:asciiTheme="minorHAnsi" w:hAnsiTheme="minorHAnsi" w:cstheme="minorHAnsi"/>
              </w:rPr>
              <w:footnoteReference w:id="6"/>
            </w:r>
          </w:p>
        </w:tc>
        <w:tc>
          <w:tcPr>
            <w:tcW w:w="708" w:type="dxa"/>
          </w:tcPr>
          <w:p w14:paraId="52318D50" w14:textId="77777777" w:rsidR="00C17069" w:rsidRPr="003C68AF" w:rsidRDefault="00C17069" w:rsidP="00B811E3">
            <w:pPr>
              <w:rPr>
                <w:rFonts w:asciiTheme="minorHAnsi" w:hAnsiTheme="minorHAnsi" w:cstheme="minorHAnsi"/>
                <w:highlight w:val="cyan"/>
              </w:rPr>
            </w:pPr>
          </w:p>
        </w:tc>
      </w:tr>
      <w:tr w:rsidR="00C17069" w:rsidRPr="003C68AF" w14:paraId="6F0E0AD0" w14:textId="77777777" w:rsidTr="00B811E3">
        <w:trPr>
          <w:trHeight w:val="487"/>
        </w:trPr>
        <w:tc>
          <w:tcPr>
            <w:tcW w:w="817" w:type="dxa"/>
          </w:tcPr>
          <w:p w14:paraId="77B4431D"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4</w:t>
            </w:r>
          </w:p>
        </w:tc>
        <w:tc>
          <w:tcPr>
            <w:tcW w:w="995" w:type="dxa"/>
          </w:tcPr>
          <w:p w14:paraId="597FB428" w14:textId="77777777" w:rsidR="00C17069" w:rsidRPr="003C68AF" w:rsidRDefault="00C17069" w:rsidP="00B811E3">
            <w:pPr>
              <w:ind w:right="-94"/>
              <w:rPr>
                <w:rFonts w:asciiTheme="minorHAnsi" w:hAnsiTheme="minorHAnsi" w:cstheme="minorHAnsi"/>
              </w:rPr>
            </w:pPr>
            <w:r w:rsidRPr="003C68AF">
              <w:rPr>
                <w:rFonts w:asciiTheme="minorHAnsi" w:hAnsiTheme="minorHAnsi" w:cstheme="minorHAnsi"/>
              </w:rPr>
              <w:t>5.4.3</w:t>
            </w:r>
          </w:p>
        </w:tc>
        <w:tc>
          <w:tcPr>
            <w:tcW w:w="564" w:type="dxa"/>
          </w:tcPr>
          <w:p w14:paraId="132F4FB4" w14:textId="77777777" w:rsidR="00C17069" w:rsidRPr="003C68AF" w:rsidRDefault="00C17069" w:rsidP="00B811E3">
            <w:pPr>
              <w:ind w:right="-77"/>
              <w:rPr>
                <w:rFonts w:asciiTheme="minorHAnsi" w:hAnsiTheme="minorHAnsi" w:cstheme="minorHAnsi"/>
              </w:rPr>
            </w:pPr>
            <w:r w:rsidRPr="003C68AF">
              <w:rPr>
                <w:rFonts w:asciiTheme="minorHAnsi" w:hAnsiTheme="minorHAnsi" w:cstheme="minorHAnsi"/>
              </w:rPr>
              <w:t>87</w:t>
            </w:r>
          </w:p>
        </w:tc>
        <w:tc>
          <w:tcPr>
            <w:tcW w:w="2268" w:type="dxa"/>
          </w:tcPr>
          <w:p w14:paraId="191178D2" w14:textId="77777777" w:rsidR="00C17069" w:rsidRPr="003C68AF" w:rsidRDefault="00C17069" w:rsidP="00B811E3">
            <w:pPr>
              <w:ind w:right="-120"/>
              <w:rPr>
                <w:rFonts w:asciiTheme="minorHAnsi" w:hAnsiTheme="minorHAnsi" w:cstheme="minorHAnsi"/>
              </w:rPr>
            </w:pPr>
            <w:r w:rsidRPr="003C68AF">
              <w:rPr>
                <w:rFonts w:asciiTheme="minorHAnsi" w:hAnsiTheme="minorHAnsi" w:cstheme="minorHAnsi"/>
              </w:rPr>
              <w:t>Table 20</w:t>
            </w:r>
          </w:p>
        </w:tc>
        <w:tc>
          <w:tcPr>
            <w:tcW w:w="4962" w:type="dxa"/>
          </w:tcPr>
          <w:p w14:paraId="4E54CE41" w14:textId="77777777" w:rsidR="00C17069" w:rsidRPr="003C68AF" w:rsidRDefault="00C17069" w:rsidP="00B811E3">
            <w:pPr>
              <w:ind w:right="-120"/>
              <w:rPr>
                <w:rFonts w:asciiTheme="minorHAnsi" w:hAnsiTheme="minorHAnsi" w:cstheme="minorHAnsi"/>
              </w:rPr>
            </w:pPr>
            <w:r>
              <w:rPr>
                <w:rFonts w:asciiTheme="minorHAnsi" w:hAnsiTheme="minorHAnsi" w:cstheme="minorHAnsi"/>
              </w:rPr>
              <w:t>The European portfolio given here needs to operate with special gear – this comment needs to be added to the report.</w:t>
            </w:r>
          </w:p>
        </w:tc>
        <w:tc>
          <w:tcPr>
            <w:tcW w:w="5103" w:type="dxa"/>
          </w:tcPr>
          <w:p w14:paraId="267975C5" w14:textId="77777777" w:rsidR="00C17069" w:rsidRPr="003C68AF" w:rsidRDefault="00C17069" w:rsidP="00B811E3">
            <w:pPr>
              <w:rPr>
                <w:rFonts w:asciiTheme="minorHAnsi" w:hAnsiTheme="minorHAnsi" w:cstheme="minorHAnsi"/>
              </w:rPr>
            </w:pPr>
            <w:r>
              <w:rPr>
                <w:rFonts w:asciiTheme="minorHAnsi" w:hAnsiTheme="minorHAnsi" w:cstheme="minorHAnsi"/>
              </w:rPr>
              <w:t>Add comment “special gear must be used”, ref see footnote no. 5</w:t>
            </w:r>
          </w:p>
        </w:tc>
        <w:tc>
          <w:tcPr>
            <w:tcW w:w="708" w:type="dxa"/>
          </w:tcPr>
          <w:p w14:paraId="1CA7DE76" w14:textId="77777777" w:rsidR="00C17069" w:rsidRPr="003C68AF" w:rsidRDefault="00C17069" w:rsidP="00B811E3">
            <w:pPr>
              <w:rPr>
                <w:rFonts w:asciiTheme="minorHAnsi" w:hAnsiTheme="minorHAnsi" w:cstheme="minorHAnsi"/>
                <w:highlight w:val="cyan"/>
              </w:rPr>
            </w:pPr>
          </w:p>
        </w:tc>
      </w:tr>
      <w:tr w:rsidR="00C17069" w:rsidRPr="003C68AF" w14:paraId="4A8EA340" w14:textId="77777777" w:rsidTr="00B811E3">
        <w:trPr>
          <w:trHeight w:val="487"/>
        </w:trPr>
        <w:tc>
          <w:tcPr>
            <w:tcW w:w="817" w:type="dxa"/>
          </w:tcPr>
          <w:p w14:paraId="08C1C560"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4</w:t>
            </w:r>
          </w:p>
        </w:tc>
        <w:tc>
          <w:tcPr>
            <w:tcW w:w="995" w:type="dxa"/>
          </w:tcPr>
          <w:p w14:paraId="0CBDB870" w14:textId="77777777" w:rsidR="00C17069" w:rsidRPr="003C68AF" w:rsidRDefault="00C17069" w:rsidP="00B811E3">
            <w:pPr>
              <w:ind w:right="-94"/>
              <w:rPr>
                <w:rFonts w:asciiTheme="minorHAnsi" w:hAnsiTheme="minorHAnsi" w:cstheme="minorHAnsi"/>
              </w:rPr>
            </w:pPr>
            <w:r>
              <w:rPr>
                <w:rFonts w:asciiTheme="minorHAnsi" w:hAnsiTheme="minorHAnsi" w:cstheme="minorHAnsi"/>
              </w:rPr>
              <w:t>5.4.5</w:t>
            </w:r>
          </w:p>
        </w:tc>
        <w:tc>
          <w:tcPr>
            <w:tcW w:w="564" w:type="dxa"/>
          </w:tcPr>
          <w:p w14:paraId="65595BE1" w14:textId="77777777" w:rsidR="00C17069" w:rsidRPr="003C68AF" w:rsidRDefault="00C17069" w:rsidP="00B811E3">
            <w:pPr>
              <w:ind w:right="-77"/>
              <w:rPr>
                <w:rFonts w:asciiTheme="minorHAnsi" w:hAnsiTheme="minorHAnsi" w:cstheme="minorHAnsi"/>
              </w:rPr>
            </w:pPr>
            <w:r>
              <w:rPr>
                <w:rFonts w:asciiTheme="minorHAnsi" w:hAnsiTheme="minorHAnsi" w:cstheme="minorHAnsi"/>
              </w:rPr>
              <w:t>89</w:t>
            </w:r>
          </w:p>
        </w:tc>
        <w:tc>
          <w:tcPr>
            <w:tcW w:w="2268" w:type="dxa"/>
          </w:tcPr>
          <w:p w14:paraId="3026B39C" w14:textId="77777777" w:rsidR="00C17069" w:rsidRPr="003C68AF" w:rsidRDefault="00C17069" w:rsidP="00B811E3">
            <w:pPr>
              <w:widowControl/>
              <w:autoSpaceDE w:val="0"/>
              <w:autoSpaceDN w:val="0"/>
              <w:adjustRightInd w:val="0"/>
              <w:ind w:right="0"/>
              <w:rPr>
                <w:rFonts w:asciiTheme="minorHAnsi" w:hAnsiTheme="minorHAnsi" w:cstheme="minorHAnsi"/>
              </w:rPr>
            </w:pPr>
            <w:r w:rsidRPr="001A3880">
              <w:rPr>
                <w:rFonts w:asciiTheme="minorHAnsi" w:eastAsiaTheme="minorHAnsi" w:hAnsiTheme="minorHAnsi" w:cstheme="minorHAnsi"/>
                <w:spacing w:val="0"/>
                <w:lang w:val="en-US"/>
              </w:rPr>
              <w:t>Rated life times are much higher compared to fluorescent lamps.</w:t>
            </w:r>
          </w:p>
        </w:tc>
        <w:tc>
          <w:tcPr>
            <w:tcW w:w="4962" w:type="dxa"/>
          </w:tcPr>
          <w:p w14:paraId="57C53E96" w14:textId="77777777" w:rsidR="00C17069" w:rsidRPr="003C68AF" w:rsidRDefault="00C17069" w:rsidP="00B811E3">
            <w:pPr>
              <w:ind w:right="-120"/>
              <w:rPr>
                <w:rFonts w:asciiTheme="minorHAnsi" w:hAnsiTheme="minorHAnsi" w:cstheme="minorHAnsi"/>
              </w:rPr>
            </w:pPr>
            <w:r>
              <w:rPr>
                <w:rFonts w:asciiTheme="minorHAnsi" w:hAnsiTheme="minorHAnsi" w:cstheme="minorHAnsi"/>
              </w:rPr>
              <w:t xml:space="preserve">LED lifetime is not always higher than T8 lamp, hence the statement is not correct (also considering </w:t>
            </w:r>
            <w:proofErr w:type="spellStart"/>
            <w:r>
              <w:rPr>
                <w:rFonts w:asciiTheme="minorHAnsi" w:hAnsiTheme="minorHAnsi" w:cstheme="minorHAnsi"/>
              </w:rPr>
              <w:t>Caliper</w:t>
            </w:r>
            <w:proofErr w:type="spellEnd"/>
            <w:r>
              <w:rPr>
                <w:rFonts w:asciiTheme="minorHAnsi" w:hAnsiTheme="minorHAnsi" w:cstheme="minorHAnsi"/>
              </w:rPr>
              <w:t xml:space="preserve"> summary on page 3).</w:t>
            </w:r>
          </w:p>
        </w:tc>
        <w:tc>
          <w:tcPr>
            <w:tcW w:w="5103" w:type="dxa"/>
          </w:tcPr>
          <w:p w14:paraId="44FEF54E" w14:textId="77777777" w:rsidR="00C17069" w:rsidRPr="003C68AF" w:rsidRDefault="00C17069" w:rsidP="00B811E3">
            <w:pPr>
              <w:rPr>
                <w:rFonts w:asciiTheme="minorHAnsi" w:hAnsiTheme="minorHAnsi" w:cstheme="minorHAnsi"/>
              </w:rPr>
            </w:pPr>
            <w:r>
              <w:rPr>
                <w:rFonts w:asciiTheme="minorHAnsi" w:hAnsiTheme="minorHAnsi" w:cstheme="minorHAnsi"/>
              </w:rPr>
              <w:t xml:space="preserve">Rated life times </w:t>
            </w:r>
            <w:r w:rsidRPr="001A3880">
              <w:rPr>
                <w:rFonts w:asciiTheme="minorHAnsi" w:hAnsiTheme="minorHAnsi" w:cstheme="minorHAnsi"/>
                <w:u w:val="single"/>
              </w:rPr>
              <w:t>can be higher</w:t>
            </w:r>
            <w:r>
              <w:rPr>
                <w:rFonts w:asciiTheme="minorHAnsi" w:hAnsiTheme="minorHAnsi" w:cstheme="minorHAnsi"/>
              </w:rPr>
              <w:t xml:space="preserve"> compared to fluorescent lamps.</w:t>
            </w:r>
          </w:p>
        </w:tc>
        <w:tc>
          <w:tcPr>
            <w:tcW w:w="708" w:type="dxa"/>
          </w:tcPr>
          <w:p w14:paraId="041591FF" w14:textId="77777777" w:rsidR="00C17069" w:rsidRPr="003C68AF" w:rsidRDefault="00C17069" w:rsidP="00B811E3">
            <w:pPr>
              <w:rPr>
                <w:rFonts w:asciiTheme="minorHAnsi" w:hAnsiTheme="minorHAnsi" w:cstheme="minorHAnsi"/>
                <w:highlight w:val="cyan"/>
              </w:rPr>
            </w:pPr>
          </w:p>
        </w:tc>
      </w:tr>
      <w:tr w:rsidR="00C17069" w:rsidRPr="003C68AF" w14:paraId="181990C9" w14:textId="77777777" w:rsidTr="00B811E3">
        <w:trPr>
          <w:trHeight w:val="240"/>
        </w:trPr>
        <w:tc>
          <w:tcPr>
            <w:tcW w:w="817" w:type="dxa"/>
          </w:tcPr>
          <w:p w14:paraId="5D19B041"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4</w:t>
            </w:r>
          </w:p>
        </w:tc>
        <w:tc>
          <w:tcPr>
            <w:tcW w:w="995" w:type="dxa"/>
          </w:tcPr>
          <w:p w14:paraId="3D8B9DEE" w14:textId="77777777" w:rsidR="00C17069" w:rsidRDefault="00C17069" w:rsidP="00B811E3">
            <w:pPr>
              <w:ind w:right="-94"/>
              <w:rPr>
                <w:rFonts w:asciiTheme="minorHAnsi" w:hAnsiTheme="minorHAnsi" w:cstheme="minorHAnsi"/>
              </w:rPr>
            </w:pPr>
            <w:r>
              <w:rPr>
                <w:rFonts w:asciiTheme="minorHAnsi" w:hAnsiTheme="minorHAnsi" w:cstheme="minorHAnsi"/>
              </w:rPr>
              <w:t>5.4.5</w:t>
            </w:r>
          </w:p>
        </w:tc>
        <w:tc>
          <w:tcPr>
            <w:tcW w:w="564" w:type="dxa"/>
          </w:tcPr>
          <w:p w14:paraId="30369804" w14:textId="77777777" w:rsidR="00C17069" w:rsidRDefault="00C17069" w:rsidP="00B811E3">
            <w:pPr>
              <w:ind w:right="-77"/>
              <w:rPr>
                <w:rFonts w:asciiTheme="minorHAnsi" w:hAnsiTheme="minorHAnsi" w:cstheme="minorHAnsi"/>
              </w:rPr>
            </w:pPr>
            <w:r>
              <w:rPr>
                <w:rFonts w:asciiTheme="minorHAnsi" w:hAnsiTheme="minorHAnsi" w:cstheme="minorHAnsi"/>
              </w:rPr>
              <w:t>89</w:t>
            </w:r>
          </w:p>
        </w:tc>
        <w:tc>
          <w:tcPr>
            <w:tcW w:w="2268" w:type="dxa"/>
          </w:tcPr>
          <w:p w14:paraId="3972A227" w14:textId="77777777" w:rsidR="00C17069" w:rsidRPr="001A3880" w:rsidRDefault="00C17069" w:rsidP="00B811E3">
            <w:pPr>
              <w:widowControl/>
              <w:autoSpaceDE w:val="0"/>
              <w:autoSpaceDN w:val="0"/>
              <w:adjustRightInd w:val="0"/>
              <w:ind w:right="0"/>
              <w:rPr>
                <w:rFonts w:asciiTheme="minorHAnsi" w:eastAsiaTheme="minorHAnsi" w:hAnsiTheme="minorHAnsi" w:cstheme="minorHAnsi"/>
                <w:spacing w:val="0"/>
                <w:lang w:val="en-US"/>
              </w:rPr>
            </w:pPr>
            <w:r w:rsidRPr="001A3880">
              <w:rPr>
                <w:rFonts w:asciiTheme="minorHAnsi" w:eastAsiaTheme="minorHAnsi" w:hAnsiTheme="minorHAnsi" w:cstheme="minorHAnsi"/>
                <w:spacing w:val="0"/>
                <w:lang w:val="en-US"/>
              </w:rPr>
              <w:t>Justifications for the lower lum</w:t>
            </w:r>
            <w:r>
              <w:rPr>
                <w:rFonts w:asciiTheme="minorHAnsi" w:eastAsiaTheme="minorHAnsi" w:hAnsiTheme="minorHAnsi" w:cstheme="minorHAnsi"/>
                <w:spacing w:val="0"/>
                <w:lang w:val="en-US"/>
              </w:rPr>
              <w:t>en output of LED retrofit lamps, 2</w:t>
            </w:r>
            <w:r w:rsidRPr="001A3880">
              <w:rPr>
                <w:rFonts w:asciiTheme="minorHAnsi" w:eastAsiaTheme="minorHAnsi" w:hAnsiTheme="minorHAnsi" w:cstheme="minorHAnsi"/>
                <w:spacing w:val="0"/>
                <w:vertAlign w:val="superscript"/>
                <w:lang w:val="en-US"/>
              </w:rPr>
              <w:t>nd</w:t>
            </w:r>
            <w:r>
              <w:rPr>
                <w:rFonts w:asciiTheme="minorHAnsi" w:eastAsiaTheme="minorHAnsi" w:hAnsiTheme="minorHAnsi" w:cstheme="minorHAnsi"/>
                <w:spacing w:val="0"/>
                <w:lang w:val="en-US"/>
              </w:rPr>
              <w:t xml:space="preserve"> bullet point</w:t>
            </w:r>
          </w:p>
        </w:tc>
        <w:tc>
          <w:tcPr>
            <w:tcW w:w="4962" w:type="dxa"/>
          </w:tcPr>
          <w:p w14:paraId="7DC37DB1" w14:textId="77777777" w:rsidR="00C17069" w:rsidRPr="001A3880" w:rsidRDefault="00C17069" w:rsidP="00B811E3">
            <w:pPr>
              <w:ind w:right="-120"/>
              <w:rPr>
                <w:rFonts w:asciiTheme="minorHAnsi" w:hAnsiTheme="minorHAnsi" w:cstheme="minorHAnsi"/>
                <w:lang w:val="en-US"/>
              </w:rPr>
            </w:pPr>
            <w:r>
              <w:rPr>
                <w:rFonts w:asciiTheme="minorHAnsi" w:hAnsiTheme="minorHAnsi" w:cstheme="minorHAnsi"/>
                <w:lang w:val="en-US"/>
              </w:rPr>
              <w:t>Presented situation is not a typical but extreme type of ballast used. This is not a normal operation often see in the market.</w:t>
            </w:r>
          </w:p>
        </w:tc>
        <w:tc>
          <w:tcPr>
            <w:tcW w:w="5103" w:type="dxa"/>
          </w:tcPr>
          <w:p w14:paraId="4FB9F319" w14:textId="77777777" w:rsidR="00C17069" w:rsidRDefault="00C17069" w:rsidP="00B811E3">
            <w:pPr>
              <w:rPr>
                <w:rFonts w:asciiTheme="minorHAnsi" w:hAnsiTheme="minorHAnsi" w:cstheme="minorHAnsi"/>
              </w:rPr>
            </w:pPr>
            <w:r>
              <w:rPr>
                <w:rFonts w:asciiTheme="minorHAnsi" w:hAnsiTheme="minorHAnsi" w:cstheme="minorHAnsi"/>
              </w:rPr>
              <w:t>As this is not a standard operation example, suggest to remove the bullet point.</w:t>
            </w:r>
          </w:p>
        </w:tc>
        <w:tc>
          <w:tcPr>
            <w:tcW w:w="708" w:type="dxa"/>
          </w:tcPr>
          <w:p w14:paraId="2BAFF367" w14:textId="77777777" w:rsidR="00C17069" w:rsidRPr="003C68AF" w:rsidRDefault="00C17069" w:rsidP="00B811E3">
            <w:pPr>
              <w:rPr>
                <w:rFonts w:asciiTheme="minorHAnsi" w:hAnsiTheme="minorHAnsi" w:cstheme="minorHAnsi"/>
                <w:highlight w:val="cyan"/>
              </w:rPr>
            </w:pPr>
          </w:p>
        </w:tc>
      </w:tr>
      <w:tr w:rsidR="00C17069" w:rsidRPr="003C68AF" w14:paraId="77527684" w14:textId="77777777" w:rsidTr="00B811E3">
        <w:trPr>
          <w:trHeight w:val="683"/>
        </w:trPr>
        <w:tc>
          <w:tcPr>
            <w:tcW w:w="817" w:type="dxa"/>
          </w:tcPr>
          <w:p w14:paraId="27D424BF"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4</w:t>
            </w:r>
          </w:p>
        </w:tc>
        <w:tc>
          <w:tcPr>
            <w:tcW w:w="995" w:type="dxa"/>
          </w:tcPr>
          <w:p w14:paraId="10926FEF" w14:textId="77777777" w:rsidR="00C17069" w:rsidRPr="003C68AF" w:rsidRDefault="00C17069" w:rsidP="00B811E3">
            <w:pPr>
              <w:ind w:right="-94"/>
              <w:rPr>
                <w:rFonts w:asciiTheme="minorHAnsi" w:hAnsiTheme="minorHAnsi" w:cstheme="minorHAnsi"/>
              </w:rPr>
            </w:pPr>
            <w:r w:rsidRPr="003C68AF">
              <w:rPr>
                <w:rFonts w:asciiTheme="minorHAnsi" w:hAnsiTheme="minorHAnsi" w:cstheme="minorHAnsi"/>
              </w:rPr>
              <w:t>5.4.7</w:t>
            </w:r>
          </w:p>
        </w:tc>
        <w:tc>
          <w:tcPr>
            <w:tcW w:w="564" w:type="dxa"/>
          </w:tcPr>
          <w:p w14:paraId="5CDCCE4F" w14:textId="77777777" w:rsidR="00C17069" w:rsidRPr="003C68AF" w:rsidRDefault="00C17069" w:rsidP="00B811E3">
            <w:pPr>
              <w:ind w:right="-77"/>
              <w:rPr>
                <w:rFonts w:asciiTheme="minorHAnsi" w:hAnsiTheme="minorHAnsi" w:cstheme="minorHAnsi"/>
              </w:rPr>
            </w:pPr>
            <w:r w:rsidRPr="003C68AF">
              <w:rPr>
                <w:rFonts w:asciiTheme="minorHAnsi" w:hAnsiTheme="minorHAnsi" w:cstheme="minorHAnsi"/>
              </w:rPr>
              <w:t>94</w:t>
            </w:r>
          </w:p>
        </w:tc>
        <w:tc>
          <w:tcPr>
            <w:tcW w:w="2268" w:type="dxa"/>
          </w:tcPr>
          <w:p w14:paraId="1DE3862A" w14:textId="77777777" w:rsidR="00C17069" w:rsidRPr="003C68AF" w:rsidRDefault="00C17069" w:rsidP="00B811E3">
            <w:pPr>
              <w:widowControl/>
              <w:autoSpaceDE w:val="0"/>
              <w:autoSpaceDN w:val="0"/>
              <w:adjustRightInd w:val="0"/>
              <w:ind w:right="0"/>
              <w:rPr>
                <w:rFonts w:asciiTheme="minorHAnsi" w:hAnsiTheme="minorHAnsi" w:cstheme="minorHAnsi"/>
              </w:rPr>
            </w:pPr>
            <w:r w:rsidRPr="003C68AF">
              <w:rPr>
                <w:rFonts w:asciiTheme="minorHAnsi" w:eastAsiaTheme="minorHAnsi" w:hAnsiTheme="minorHAnsi" w:cstheme="minorHAnsi"/>
                <w:spacing w:val="0"/>
                <w:lang w:val="en-US"/>
              </w:rPr>
              <w:t>Shortcomings of current (BAT) LED</w:t>
            </w:r>
            <w:r>
              <w:rPr>
                <w:rFonts w:asciiTheme="minorHAnsi" w:eastAsiaTheme="minorHAnsi" w:hAnsiTheme="minorHAnsi" w:cstheme="minorHAnsi"/>
                <w:spacing w:val="0"/>
                <w:lang w:val="en-US"/>
              </w:rPr>
              <w:t xml:space="preserve"> retrofit tubes for some LFL…problems</w:t>
            </w:r>
          </w:p>
        </w:tc>
        <w:tc>
          <w:tcPr>
            <w:tcW w:w="4962" w:type="dxa"/>
          </w:tcPr>
          <w:p w14:paraId="3C9ECE74" w14:textId="77777777" w:rsidR="00C17069" w:rsidRPr="003C68AF" w:rsidRDefault="00C17069" w:rsidP="00B811E3">
            <w:pPr>
              <w:ind w:right="-120"/>
              <w:rPr>
                <w:rFonts w:asciiTheme="minorHAnsi" w:hAnsiTheme="minorHAnsi" w:cstheme="minorHAnsi"/>
              </w:rPr>
            </w:pPr>
          </w:p>
        </w:tc>
        <w:tc>
          <w:tcPr>
            <w:tcW w:w="5103" w:type="dxa"/>
          </w:tcPr>
          <w:p w14:paraId="3362FFC6" w14:textId="77777777" w:rsidR="00C17069" w:rsidRPr="003C68AF" w:rsidRDefault="00C17069" w:rsidP="00B811E3">
            <w:pPr>
              <w:ind w:right="-108"/>
              <w:rPr>
                <w:rFonts w:asciiTheme="minorHAnsi" w:hAnsiTheme="minorHAnsi" w:cstheme="minorHAnsi"/>
              </w:rPr>
            </w:pPr>
            <w:r w:rsidRPr="003C68AF">
              <w:rPr>
                <w:rFonts w:asciiTheme="minorHAnsi" w:hAnsiTheme="minorHAnsi" w:cstheme="minorHAnsi"/>
              </w:rPr>
              <w:t>Electrical compatibility and lack of full coverage for all existing applications (e.g. lengths) in one-on-one lamp replacement should be indicated also</w:t>
            </w:r>
          </w:p>
        </w:tc>
        <w:tc>
          <w:tcPr>
            <w:tcW w:w="708" w:type="dxa"/>
          </w:tcPr>
          <w:p w14:paraId="77FB1B47" w14:textId="77777777" w:rsidR="00C17069" w:rsidRPr="003C68AF" w:rsidRDefault="00C17069" w:rsidP="00B811E3">
            <w:pPr>
              <w:rPr>
                <w:rFonts w:asciiTheme="minorHAnsi" w:hAnsiTheme="minorHAnsi" w:cstheme="minorHAnsi"/>
                <w:highlight w:val="cyan"/>
              </w:rPr>
            </w:pPr>
          </w:p>
        </w:tc>
      </w:tr>
      <w:tr w:rsidR="00C17069" w:rsidRPr="003C68AF" w14:paraId="5D027FA6" w14:textId="77777777" w:rsidTr="00B811E3">
        <w:trPr>
          <w:trHeight w:val="807"/>
        </w:trPr>
        <w:tc>
          <w:tcPr>
            <w:tcW w:w="817" w:type="dxa"/>
          </w:tcPr>
          <w:p w14:paraId="31998C3B"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lastRenderedPageBreak/>
              <w:t>Task 4</w:t>
            </w:r>
          </w:p>
        </w:tc>
        <w:tc>
          <w:tcPr>
            <w:tcW w:w="995" w:type="dxa"/>
          </w:tcPr>
          <w:p w14:paraId="6AA58B06" w14:textId="77777777" w:rsidR="00C17069" w:rsidRPr="003C68AF" w:rsidRDefault="00C17069" w:rsidP="00B811E3">
            <w:pPr>
              <w:ind w:right="-94"/>
              <w:rPr>
                <w:rFonts w:asciiTheme="minorHAnsi" w:hAnsiTheme="minorHAnsi" w:cstheme="minorHAnsi"/>
              </w:rPr>
            </w:pPr>
            <w:r w:rsidRPr="003C68AF">
              <w:rPr>
                <w:rFonts w:asciiTheme="minorHAnsi" w:hAnsiTheme="minorHAnsi" w:cstheme="minorHAnsi"/>
              </w:rPr>
              <w:t>5.5.1</w:t>
            </w:r>
          </w:p>
        </w:tc>
        <w:tc>
          <w:tcPr>
            <w:tcW w:w="564" w:type="dxa"/>
          </w:tcPr>
          <w:p w14:paraId="6BD34BFB" w14:textId="77777777" w:rsidR="00C17069" w:rsidRPr="003C68AF" w:rsidRDefault="00C17069" w:rsidP="00B811E3">
            <w:pPr>
              <w:ind w:right="-77"/>
              <w:rPr>
                <w:rFonts w:asciiTheme="minorHAnsi" w:hAnsiTheme="minorHAnsi" w:cstheme="minorHAnsi"/>
              </w:rPr>
            </w:pPr>
            <w:r w:rsidRPr="003C68AF">
              <w:rPr>
                <w:rFonts w:asciiTheme="minorHAnsi" w:hAnsiTheme="minorHAnsi" w:cstheme="minorHAnsi"/>
              </w:rPr>
              <w:t>94</w:t>
            </w:r>
          </w:p>
        </w:tc>
        <w:tc>
          <w:tcPr>
            <w:tcW w:w="2268" w:type="dxa"/>
          </w:tcPr>
          <w:p w14:paraId="2416BE1E" w14:textId="77777777" w:rsidR="00C17069" w:rsidRPr="003C68AF" w:rsidRDefault="00C17069" w:rsidP="00B811E3">
            <w:pPr>
              <w:ind w:right="-120"/>
              <w:rPr>
                <w:rFonts w:asciiTheme="minorHAnsi" w:hAnsiTheme="minorHAnsi" w:cstheme="minorHAnsi"/>
              </w:rPr>
            </w:pPr>
            <w:r w:rsidRPr="003C68AF">
              <w:rPr>
                <w:rFonts w:asciiTheme="minorHAnsi" w:hAnsiTheme="minorHAnsi" w:cstheme="minorHAnsi"/>
              </w:rPr>
              <w:t>Footnote: 181</w:t>
            </w:r>
          </w:p>
        </w:tc>
        <w:tc>
          <w:tcPr>
            <w:tcW w:w="4962" w:type="dxa"/>
          </w:tcPr>
          <w:p w14:paraId="178847F6" w14:textId="77777777" w:rsidR="00C17069" w:rsidRPr="003C68AF" w:rsidRDefault="00C17069" w:rsidP="00B811E3">
            <w:pPr>
              <w:ind w:right="-120"/>
              <w:rPr>
                <w:rFonts w:asciiTheme="minorHAnsi" w:hAnsiTheme="minorHAnsi" w:cstheme="minorHAnsi"/>
              </w:rPr>
            </w:pPr>
            <w:r w:rsidRPr="003C68AF">
              <w:rPr>
                <w:rFonts w:asciiTheme="minorHAnsi" w:hAnsiTheme="minorHAnsi" w:cstheme="minorHAnsi"/>
              </w:rPr>
              <w:t>In the report two different lengths are compared 21W HE (High Efficiency lamp) =3ft and 24W HO (High Output lamp) = 2ft</w:t>
            </w:r>
          </w:p>
        </w:tc>
        <w:tc>
          <w:tcPr>
            <w:tcW w:w="5103" w:type="dxa"/>
          </w:tcPr>
          <w:p w14:paraId="623D71A5" w14:textId="77777777" w:rsidR="00C17069" w:rsidRPr="003C68AF" w:rsidRDefault="00C17069" w:rsidP="00B811E3">
            <w:pPr>
              <w:rPr>
                <w:rFonts w:asciiTheme="minorHAnsi" w:hAnsiTheme="minorHAnsi" w:cstheme="minorHAnsi"/>
              </w:rPr>
            </w:pPr>
            <w:r w:rsidRPr="003C68AF">
              <w:rPr>
                <w:rFonts w:asciiTheme="minorHAnsi" w:hAnsiTheme="minorHAnsi" w:cstheme="minorHAnsi"/>
              </w:rPr>
              <w:t>Suggest to add this information also.</w:t>
            </w:r>
          </w:p>
        </w:tc>
        <w:tc>
          <w:tcPr>
            <w:tcW w:w="708" w:type="dxa"/>
          </w:tcPr>
          <w:p w14:paraId="6A3DB981" w14:textId="77777777" w:rsidR="00C17069" w:rsidRPr="003C68AF" w:rsidRDefault="00C17069" w:rsidP="00B811E3">
            <w:pPr>
              <w:rPr>
                <w:rFonts w:asciiTheme="minorHAnsi" w:hAnsiTheme="minorHAnsi" w:cstheme="minorHAnsi"/>
                <w:highlight w:val="cyan"/>
              </w:rPr>
            </w:pPr>
          </w:p>
        </w:tc>
      </w:tr>
      <w:tr w:rsidR="00C17069" w:rsidRPr="003C68AF" w14:paraId="659A2B37" w14:textId="77777777" w:rsidTr="00B811E3">
        <w:trPr>
          <w:trHeight w:val="197"/>
        </w:trPr>
        <w:tc>
          <w:tcPr>
            <w:tcW w:w="817" w:type="dxa"/>
          </w:tcPr>
          <w:p w14:paraId="43E7F1D3"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4</w:t>
            </w:r>
          </w:p>
        </w:tc>
        <w:tc>
          <w:tcPr>
            <w:tcW w:w="995" w:type="dxa"/>
          </w:tcPr>
          <w:p w14:paraId="3435026C" w14:textId="77777777" w:rsidR="00C17069" w:rsidRPr="003C68AF" w:rsidRDefault="00C17069" w:rsidP="00B811E3">
            <w:pPr>
              <w:ind w:right="-94"/>
              <w:rPr>
                <w:rFonts w:asciiTheme="minorHAnsi" w:hAnsiTheme="minorHAnsi" w:cstheme="minorHAnsi"/>
              </w:rPr>
            </w:pPr>
            <w:r>
              <w:rPr>
                <w:rFonts w:asciiTheme="minorHAnsi" w:hAnsiTheme="minorHAnsi" w:cstheme="minorHAnsi"/>
              </w:rPr>
              <w:t>5.5.3</w:t>
            </w:r>
          </w:p>
        </w:tc>
        <w:tc>
          <w:tcPr>
            <w:tcW w:w="564" w:type="dxa"/>
          </w:tcPr>
          <w:p w14:paraId="70AAA9BF" w14:textId="77777777" w:rsidR="00C17069" w:rsidRPr="003C68AF" w:rsidRDefault="00C17069" w:rsidP="00B811E3">
            <w:pPr>
              <w:ind w:right="-77"/>
              <w:rPr>
                <w:rFonts w:asciiTheme="minorHAnsi" w:hAnsiTheme="minorHAnsi" w:cstheme="minorHAnsi"/>
              </w:rPr>
            </w:pPr>
            <w:r w:rsidRPr="003C68AF">
              <w:rPr>
                <w:rFonts w:asciiTheme="minorHAnsi" w:hAnsiTheme="minorHAnsi" w:cstheme="minorHAnsi"/>
              </w:rPr>
              <w:t>97</w:t>
            </w:r>
          </w:p>
        </w:tc>
        <w:tc>
          <w:tcPr>
            <w:tcW w:w="2268" w:type="dxa"/>
          </w:tcPr>
          <w:p w14:paraId="5E3EED49" w14:textId="77777777" w:rsidR="00C17069" w:rsidRPr="003C68AF" w:rsidRDefault="00C17069" w:rsidP="00B811E3">
            <w:pPr>
              <w:ind w:right="-120"/>
              <w:rPr>
                <w:rFonts w:asciiTheme="minorHAnsi" w:hAnsiTheme="minorHAnsi" w:cstheme="minorHAnsi"/>
              </w:rPr>
            </w:pPr>
            <w:r>
              <w:rPr>
                <w:rFonts w:asciiTheme="minorHAnsi" w:hAnsiTheme="minorHAnsi" w:cstheme="minorHAnsi"/>
              </w:rPr>
              <w:t>Table 25</w:t>
            </w:r>
          </w:p>
        </w:tc>
        <w:tc>
          <w:tcPr>
            <w:tcW w:w="4962" w:type="dxa"/>
          </w:tcPr>
          <w:p w14:paraId="2F21EEC0" w14:textId="77777777" w:rsidR="00C17069" w:rsidRPr="003C68AF" w:rsidRDefault="00C17069" w:rsidP="00B811E3">
            <w:pPr>
              <w:ind w:right="-120"/>
              <w:rPr>
                <w:rFonts w:asciiTheme="minorHAnsi" w:hAnsiTheme="minorHAnsi" w:cstheme="minorHAnsi"/>
              </w:rPr>
            </w:pPr>
            <w:r>
              <w:rPr>
                <w:rFonts w:asciiTheme="minorHAnsi" w:hAnsiTheme="minorHAnsi" w:cstheme="minorHAnsi"/>
              </w:rPr>
              <w:t>Mix of different lamp types without clear length indication</w:t>
            </w:r>
          </w:p>
        </w:tc>
        <w:tc>
          <w:tcPr>
            <w:tcW w:w="5103" w:type="dxa"/>
          </w:tcPr>
          <w:p w14:paraId="43D0FE70" w14:textId="77777777" w:rsidR="00C17069" w:rsidRPr="003C68AF" w:rsidRDefault="00C17069" w:rsidP="00B811E3">
            <w:pPr>
              <w:rPr>
                <w:rFonts w:asciiTheme="minorHAnsi" w:hAnsiTheme="minorHAnsi" w:cstheme="minorHAnsi"/>
              </w:rPr>
            </w:pPr>
            <w:r>
              <w:rPr>
                <w:rFonts w:asciiTheme="minorHAnsi" w:hAnsiTheme="minorHAnsi" w:cstheme="minorHAnsi"/>
              </w:rPr>
              <w:t>Length information to be added to the table.</w:t>
            </w:r>
          </w:p>
        </w:tc>
        <w:tc>
          <w:tcPr>
            <w:tcW w:w="708" w:type="dxa"/>
          </w:tcPr>
          <w:p w14:paraId="43BDDB7D" w14:textId="77777777" w:rsidR="00C17069" w:rsidRPr="003C68AF" w:rsidRDefault="00C17069" w:rsidP="00B811E3">
            <w:pPr>
              <w:rPr>
                <w:rFonts w:asciiTheme="minorHAnsi" w:hAnsiTheme="minorHAnsi" w:cstheme="minorHAnsi"/>
                <w:highlight w:val="cyan"/>
              </w:rPr>
            </w:pPr>
          </w:p>
        </w:tc>
      </w:tr>
      <w:tr w:rsidR="00C17069" w:rsidRPr="003C68AF" w14:paraId="16910BE0" w14:textId="77777777" w:rsidTr="00B811E3">
        <w:tc>
          <w:tcPr>
            <w:tcW w:w="817" w:type="dxa"/>
          </w:tcPr>
          <w:p w14:paraId="6678D0E4"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4</w:t>
            </w:r>
          </w:p>
        </w:tc>
        <w:tc>
          <w:tcPr>
            <w:tcW w:w="995" w:type="dxa"/>
          </w:tcPr>
          <w:p w14:paraId="43F2BAF5"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5.5.4</w:t>
            </w:r>
          </w:p>
        </w:tc>
        <w:tc>
          <w:tcPr>
            <w:tcW w:w="564" w:type="dxa"/>
          </w:tcPr>
          <w:p w14:paraId="51FB13B5"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97</w:t>
            </w:r>
          </w:p>
        </w:tc>
        <w:tc>
          <w:tcPr>
            <w:tcW w:w="2268" w:type="dxa"/>
          </w:tcPr>
          <w:p w14:paraId="282FE444" w14:textId="77777777" w:rsidR="00C17069" w:rsidRPr="003C68AF" w:rsidRDefault="00C17069" w:rsidP="00B811E3">
            <w:pPr>
              <w:rPr>
                <w:rFonts w:asciiTheme="minorHAnsi" w:hAnsiTheme="minorHAnsi" w:cstheme="minorHAnsi"/>
              </w:rPr>
            </w:pPr>
            <w:r w:rsidRPr="003C68AF">
              <w:rPr>
                <w:rFonts w:asciiTheme="minorHAnsi" w:hAnsiTheme="minorHAnsi" w:cstheme="minorHAnsi"/>
              </w:rPr>
              <w:t xml:space="preserve">Reasons for limited T5 LED replacement </w:t>
            </w:r>
          </w:p>
        </w:tc>
        <w:tc>
          <w:tcPr>
            <w:tcW w:w="4962" w:type="dxa"/>
          </w:tcPr>
          <w:p w14:paraId="5054D28E" w14:textId="77777777" w:rsidR="00C17069" w:rsidRPr="003C68AF" w:rsidRDefault="00C17069" w:rsidP="00B811E3">
            <w:pPr>
              <w:rPr>
                <w:rFonts w:asciiTheme="minorHAnsi" w:hAnsiTheme="minorHAnsi" w:cstheme="minorHAnsi"/>
              </w:rPr>
            </w:pPr>
          </w:p>
        </w:tc>
        <w:tc>
          <w:tcPr>
            <w:tcW w:w="5103" w:type="dxa"/>
          </w:tcPr>
          <w:p w14:paraId="611E60DC"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Suggest to add as additional reason being electronics miniaturization vs cost</w:t>
            </w:r>
          </w:p>
        </w:tc>
        <w:tc>
          <w:tcPr>
            <w:tcW w:w="708" w:type="dxa"/>
          </w:tcPr>
          <w:p w14:paraId="6576B881" w14:textId="77777777" w:rsidR="00C17069" w:rsidRPr="003C68AF" w:rsidRDefault="00C17069" w:rsidP="00B811E3">
            <w:pPr>
              <w:rPr>
                <w:rFonts w:asciiTheme="minorHAnsi" w:hAnsiTheme="minorHAnsi" w:cstheme="minorHAnsi"/>
                <w:highlight w:val="cyan"/>
              </w:rPr>
            </w:pPr>
          </w:p>
        </w:tc>
      </w:tr>
      <w:tr w:rsidR="00C17069" w:rsidRPr="003C68AF" w14:paraId="2E85CBAE" w14:textId="77777777" w:rsidTr="00B811E3">
        <w:tc>
          <w:tcPr>
            <w:tcW w:w="817" w:type="dxa"/>
          </w:tcPr>
          <w:p w14:paraId="55815023"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4</w:t>
            </w:r>
          </w:p>
        </w:tc>
        <w:tc>
          <w:tcPr>
            <w:tcW w:w="995" w:type="dxa"/>
          </w:tcPr>
          <w:p w14:paraId="5CEC3EA8" w14:textId="77777777" w:rsidR="00C17069" w:rsidRPr="003C68AF" w:rsidRDefault="00C17069" w:rsidP="00B811E3">
            <w:pPr>
              <w:ind w:right="-110"/>
              <w:rPr>
                <w:rFonts w:asciiTheme="minorHAnsi" w:hAnsiTheme="minorHAnsi" w:cstheme="minorHAnsi"/>
              </w:rPr>
            </w:pPr>
            <w:r>
              <w:rPr>
                <w:rFonts w:asciiTheme="minorHAnsi" w:hAnsiTheme="minorHAnsi" w:cstheme="minorHAnsi"/>
              </w:rPr>
              <w:t>5.6.1</w:t>
            </w:r>
          </w:p>
        </w:tc>
        <w:tc>
          <w:tcPr>
            <w:tcW w:w="564" w:type="dxa"/>
          </w:tcPr>
          <w:p w14:paraId="6E2C9B1B" w14:textId="77777777" w:rsidR="00C17069" w:rsidRPr="003C68AF" w:rsidRDefault="00C17069" w:rsidP="00B811E3">
            <w:pPr>
              <w:ind w:right="0"/>
              <w:rPr>
                <w:rFonts w:asciiTheme="minorHAnsi" w:hAnsiTheme="minorHAnsi" w:cstheme="minorHAnsi"/>
              </w:rPr>
            </w:pPr>
            <w:r>
              <w:rPr>
                <w:rFonts w:asciiTheme="minorHAnsi" w:hAnsiTheme="minorHAnsi" w:cstheme="minorHAnsi"/>
              </w:rPr>
              <w:t>98</w:t>
            </w:r>
          </w:p>
        </w:tc>
        <w:tc>
          <w:tcPr>
            <w:tcW w:w="2268" w:type="dxa"/>
          </w:tcPr>
          <w:p w14:paraId="4047401D" w14:textId="77777777" w:rsidR="00C17069" w:rsidRPr="003C68AF" w:rsidRDefault="00C17069" w:rsidP="00B811E3">
            <w:pPr>
              <w:rPr>
                <w:rFonts w:asciiTheme="minorHAnsi" w:hAnsiTheme="minorHAnsi" w:cstheme="minorHAnsi"/>
              </w:rPr>
            </w:pPr>
            <w:proofErr w:type="spellStart"/>
            <w:r>
              <w:rPr>
                <w:rFonts w:asciiTheme="minorHAnsi" w:hAnsiTheme="minorHAnsi" w:cstheme="minorHAnsi"/>
              </w:rPr>
              <w:t>TLmini</w:t>
            </w:r>
            <w:proofErr w:type="spellEnd"/>
            <w:r>
              <w:rPr>
                <w:rFonts w:asciiTheme="minorHAnsi" w:hAnsiTheme="minorHAnsi" w:cstheme="minorHAnsi"/>
              </w:rPr>
              <w:t xml:space="preserve"> thermal design</w:t>
            </w:r>
          </w:p>
        </w:tc>
        <w:tc>
          <w:tcPr>
            <w:tcW w:w="4962" w:type="dxa"/>
          </w:tcPr>
          <w:p w14:paraId="08736232" w14:textId="77777777" w:rsidR="00C17069" w:rsidRPr="003C68AF" w:rsidRDefault="00C17069" w:rsidP="00B811E3">
            <w:pPr>
              <w:rPr>
                <w:rFonts w:asciiTheme="minorHAnsi" w:hAnsiTheme="minorHAnsi" w:cstheme="minorHAnsi"/>
              </w:rPr>
            </w:pPr>
            <w:r>
              <w:rPr>
                <w:rFonts w:asciiTheme="minorHAnsi" w:hAnsiTheme="minorHAnsi" w:cstheme="minorHAnsi"/>
              </w:rPr>
              <w:t xml:space="preserve">Difference between regular T5 and </w:t>
            </w:r>
            <w:proofErr w:type="spellStart"/>
            <w:r>
              <w:rPr>
                <w:rFonts w:asciiTheme="minorHAnsi" w:hAnsiTheme="minorHAnsi" w:cstheme="minorHAnsi"/>
              </w:rPr>
              <w:t>TLmini</w:t>
            </w:r>
            <w:proofErr w:type="spellEnd"/>
            <w:r>
              <w:rPr>
                <w:rFonts w:asciiTheme="minorHAnsi" w:hAnsiTheme="minorHAnsi" w:cstheme="minorHAnsi"/>
              </w:rPr>
              <w:t xml:space="preserve"> </w:t>
            </w:r>
            <w:proofErr w:type="spellStart"/>
            <w:r>
              <w:rPr>
                <w:rFonts w:asciiTheme="minorHAnsi" w:hAnsiTheme="minorHAnsi" w:cstheme="minorHAnsi"/>
              </w:rPr>
              <w:t>wrt</w:t>
            </w:r>
            <w:proofErr w:type="spellEnd"/>
            <w:r>
              <w:rPr>
                <w:rFonts w:asciiTheme="minorHAnsi" w:hAnsiTheme="minorHAnsi" w:cstheme="minorHAnsi"/>
              </w:rPr>
              <w:t xml:space="preserve"> cold spot location is not always present – this should be reflected also in the report.</w:t>
            </w:r>
          </w:p>
        </w:tc>
        <w:tc>
          <w:tcPr>
            <w:tcW w:w="5103" w:type="dxa"/>
          </w:tcPr>
          <w:p w14:paraId="4D8ABA7B" w14:textId="77777777" w:rsidR="00C17069" w:rsidRPr="003C68AF" w:rsidRDefault="00C17069" w:rsidP="00B811E3">
            <w:pPr>
              <w:rPr>
                <w:rFonts w:asciiTheme="minorHAnsi" w:hAnsiTheme="minorHAnsi" w:cstheme="minorHAnsi"/>
              </w:rPr>
            </w:pPr>
            <w:r>
              <w:rPr>
                <w:rFonts w:asciiTheme="minorHAnsi" w:hAnsiTheme="minorHAnsi" w:cstheme="minorHAnsi"/>
              </w:rPr>
              <w:t>Indicate that design differences are not always present.</w:t>
            </w:r>
          </w:p>
        </w:tc>
        <w:tc>
          <w:tcPr>
            <w:tcW w:w="708" w:type="dxa"/>
          </w:tcPr>
          <w:p w14:paraId="5E20E1DD" w14:textId="77777777" w:rsidR="00C17069" w:rsidRPr="003C68AF" w:rsidRDefault="00C17069" w:rsidP="00B811E3">
            <w:pPr>
              <w:rPr>
                <w:rFonts w:asciiTheme="minorHAnsi" w:hAnsiTheme="minorHAnsi" w:cstheme="minorHAnsi"/>
                <w:highlight w:val="cyan"/>
              </w:rPr>
            </w:pPr>
          </w:p>
        </w:tc>
      </w:tr>
      <w:tr w:rsidR="00C17069" w:rsidRPr="003C68AF" w14:paraId="04F295F0" w14:textId="77777777" w:rsidTr="00B811E3">
        <w:tc>
          <w:tcPr>
            <w:tcW w:w="817" w:type="dxa"/>
          </w:tcPr>
          <w:p w14:paraId="5DE3975E"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4</w:t>
            </w:r>
          </w:p>
        </w:tc>
        <w:tc>
          <w:tcPr>
            <w:tcW w:w="995" w:type="dxa"/>
          </w:tcPr>
          <w:p w14:paraId="7F32E416" w14:textId="77777777" w:rsidR="00C17069" w:rsidRDefault="00C17069" w:rsidP="00B811E3">
            <w:pPr>
              <w:ind w:right="-110"/>
              <w:rPr>
                <w:rFonts w:asciiTheme="minorHAnsi" w:hAnsiTheme="minorHAnsi" w:cstheme="minorHAnsi"/>
              </w:rPr>
            </w:pPr>
            <w:r>
              <w:rPr>
                <w:rFonts w:asciiTheme="minorHAnsi" w:hAnsiTheme="minorHAnsi" w:cstheme="minorHAnsi"/>
              </w:rPr>
              <w:t>5.8.1</w:t>
            </w:r>
          </w:p>
        </w:tc>
        <w:tc>
          <w:tcPr>
            <w:tcW w:w="564" w:type="dxa"/>
          </w:tcPr>
          <w:p w14:paraId="5E651242" w14:textId="77777777" w:rsidR="00C17069" w:rsidRDefault="00C17069" w:rsidP="00B811E3">
            <w:pPr>
              <w:ind w:right="0"/>
              <w:rPr>
                <w:rFonts w:asciiTheme="minorHAnsi" w:hAnsiTheme="minorHAnsi" w:cstheme="minorHAnsi"/>
              </w:rPr>
            </w:pPr>
            <w:r>
              <w:rPr>
                <w:rFonts w:asciiTheme="minorHAnsi" w:hAnsiTheme="minorHAnsi" w:cstheme="minorHAnsi"/>
              </w:rPr>
              <w:t>102</w:t>
            </w:r>
          </w:p>
        </w:tc>
        <w:tc>
          <w:tcPr>
            <w:tcW w:w="2268" w:type="dxa"/>
          </w:tcPr>
          <w:p w14:paraId="667A47F7" w14:textId="77777777" w:rsidR="00C17069" w:rsidRDefault="00C17069" w:rsidP="00B811E3">
            <w:pPr>
              <w:ind w:right="33"/>
              <w:rPr>
                <w:rFonts w:asciiTheme="minorHAnsi" w:hAnsiTheme="minorHAnsi" w:cstheme="minorHAnsi"/>
              </w:rPr>
            </w:pPr>
            <w:r w:rsidRPr="00FC1563">
              <w:rPr>
                <w:rFonts w:asciiTheme="minorHAnsi" w:hAnsiTheme="minorHAnsi" w:cstheme="minorHAnsi"/>
              </w:rPr>
              <w:t>From the</w:t>
            </w:r>
            <w:r>
              <w:rPr>
                <w:rFonts w:asciiTheme="minorHAnsi" w:hAnsiTheme="minorHAnsi" w:cstheme="minorHAnsi"/>
              </w:rPr>
              <w:t xml:space="preserve"> </w:t>
            </w:r>
            <w:r w:rsidRPr="00FC1563">
              <w:rPr>
                <w:rFonts w:asciiTheme="minorHAnsi" w:hAnsiTheme="minorHAnsi" w:cstheme="minorHAnsi"/>
              </w:rPr>
              <w:t xml:space="preserve">technical point of view, </w:t>
            </w:r>
            <w:proofErr w:type="spellStart"/>
            <w:r w:rsidRPr="00FC1563">
              <w:rPr>
                <w:rFonts w:asciiTheme="minorHAnsi" w:hAnsiTheme="minorHAnsi" w:cstheme="minorHAnsi"/>
              </w:rPr>
              <w:t>CFLni’s</w:t>
            </w:r>
            <w:proofErr w:type="spellEnd"/>
            <w:r w:rsidRPr="00FC1563">
              <w:rPr>
                <w:rFonts w:asciiTheme="minorHAnsi" w:hAnsiTheme="minorHAnsi" w:cstheme="minorHAnsi"/>
              </w:rPr>
              <w:t xml:space="preserve"> are identical to </w:t>
            </w:r>
            <w:proofErr w:type="spellStart"/>
            <w:r w:rsidRPr="00FC1563">
              <w:rPr>
                <w:rFonts w:asciiTheme="minorHAnsi" w:hAnsiTheme="minorHAnsi" w:cstheme="minorHAnsi"/>
              </w:rPr>
              <w:t>CFLi’s</w:t>
            </w:r>
            <w:proofErr w:type="spellEnd"/>
            <w:r w:rsidRPr="00FC1563">
              <w:rPr>
                <w:rFonts w:asciiTheme="minorHAnsi" w:hAnsiTheme="minorHAnsi" w:cstheme="minorHAnsi"/>
              </w:rPr>
              <w:t xml:space="preserve"> (par. 5.7)</w:t>
            </w:r>
          </w:p>
        </w:tc>
        <w:tc>
          <w:tcPr>
            <w:tcW w:w="4962" w:type="dxa"/>
          </w:tcPr>
          <w:p w14:paraId="7C27AE56" w14:textId="77777777" w:rsidR="00C17069" w:rsidRDefault="00C17069" w:rsidP="00B811E3">
            <w:pPr>
              <w:rPr>
                <w:rFonts w:asciiTheme="minorHAnsi" w:hAnsiTheme="minorHAnsi" w:cstheme="minorHAnsi"/>
              </w:rPr>
            </w:pPr>
            <w:r>
              <w:rPr>
                <w:rFonts w:asciiTheme="minorHAnsi" w:hAnsiTheme="minorHAnsi" w:cstheme="minorHAnsi"/>
              </w:rPr>
              <w:t xml:space="preserve">Not complete statement </w:t>
            </w:r>
          </w:p>
        </w:tc>
        <w:tc>
          <w:tcPr>
            <w:tcW w:w="5103" w:type="dxa"/>
          </w:tcPr>
          <w:p w14:paraId="195810C1" w14:textId="77777777" w:rsidR="00C17069" w:rsidRDefault="00C17069" w:rsidP="00B811E3">
            <w:pPr>
              <w:rPr>
                <w:rFonts w:asciiTheme="minorHAnsi" w:hAnsiTheme="minorHAnsi" w:cstheme="minorHAnsi"/>
              </w:rPr>
            </w:pPr>
            <w:r>
              <w:rPr>
                <w:rFonts w:asciiTheme="minorHAnsi" w:hAnsiTheme="minorHAnsi" w:cstheme="minorHAnsi"/>
              </w:rPr>
              <w:t xml:space="preserve">… </w:t>
            </w:r>
          </w:p>
        </w:tc>
        <w:tc>
          <w:tcPr>
            <w:tcW w:w="708" w:type="dxa"/>
          </w:tcPr>
          <w:p w14:paraId="62878B29" w14:textId="77777777" w:rsidR="00C17069" w:rsidRPr="003C68AF" w:rsidRDefault="00C17069" w:rsidP="00B811E3">
            <w:pPr>
              <w:rPr>
                <w:rFonts w:asciiTheme="minorHAnsi" w:hAnsiTheme="minorHAnsi" w:cstheme="minorHAnsi"/>
                <w:highlight w:val="cyan"/>
              </w:rPr>
            </w:pPr>
          </w:p>
        </w:tc>
      </w:tr>
      <w:tr w:rsidR="00C17069" w:rsidRPr="003C68AF" w14:paraId="5C34685B" w14:textId="77777777" w:rsidTr="00B811E3">
        <w:tc>
          <w:tcPr>
            <w:tcW w:w="817" w:type="dxa"/>
          </w:tcPr>
          <w:p w14:paraId="696EDD32"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4</w:t>
            </w:r>
          </w:p>
        </w:tc>
        <w:tc>
          <w:tcPr>
            <w:tcW w:w="995" w:type="dxa"/>
          </w:tcPr>
          <w:p w14:paraId="5D28AC2A" w14:textId="77777777" w:rsidR="00C17069" w:rsidRPr="003C68AF" w:rsidRDefault="00C17069" w:rsidP="00B811E3">
            <w:pPr>
              <w:ind w:right="-110"/>
              <w:rPr>
                <w:rFonts w:asciiTheme="minorHAnsi" w:hAnsiTheme="minorHAnsi" w:cstheme="minorHAnsi"/>
              </w:rPr>
            </w:pPr>
            <w:r>
              <w:rPr>
                <w:rFonts w:asciiTheme="minorHAnsi" w:hAnsiTheme="minorHAnsi" w:cstheme="minorHAnsi"/>
              </w:rPr>
              <w:t>5.8.1</w:t>
            </w:r>
          </w:p>
        </w:tc>
        <w:tc>
          <w:tcPr>
            <w:tcW w:w="564" w:type="dxa"/>
          </w:tcPr>
          <w:p w14:paraId="7C61C1C3" w14:textId="77777777" w:rsidR="00C17069" w:rsidRPr="003C68AF" w:rsidRDefault="00C17069" w:rsidP="00B811E3">
            <w:pPr>
              <w:ind w:right="0"/>
              <w:rPr>
                <w:rFonts w:asciiTheme="minorHAnsi" w:hAnsiTheme="minorHAnsi" w:cstheme="minorHAnsi"/>
              </w:rPr>
            </w:pPr>
            <w:r>
              <w:rPr>
                <w:rFonts w:asciiTheme="minorHAnsi" w:hAnsiTheme="minorHAnsi" w:cstheme="minorHAnsi"/>
              </w:rPr>
              <w:t>102</w:t>
            </w:r>
          </w:p>
        </w:tc>
        <w:tc>
          <w:tcPr>
            <w:tcW w:w="2268" w:type="dxa"/>
          </w:tcPr>
          <w:p w14:paraId="4D53555E" w14:textId="77777777" w:rsidR="00C17069" w:rsidRPr="003C68AF" w:rsidRDefault="00C17069" w:rsidP="00B811E3">
            <w:pPr>
              <w:rPr>
                <w:rFonts w:asciiTheme="minorHAnsi" w:hAnsiTheme="minorHAnsi" w:cstheme="minorHAnsi"/>
              </w:rPr>
            </w:pPr>
            <w:r>
              <w:rPr>
                <w:rFonts w:asciiTheme="minorHAnsi" w:hAnsiTheme="minorHAnsi" w:cstheme="minorHAnsi"/>
              </w:rPr>
              <w:t xml:space="preserve">‘Average’ </w:t>
            </w:r>
            <w:proofErr w:type="spellStart"/>
            <w:r>
              <w:rPr>
                <w:rFonts w:asciiTheme="minorHAnsi" w:hAnsiTheme="minorHAnsi" w:cstheme="minorHAnsi"/>
              </w:rPr>
              <w:t>CFLni</w:t>
            </w:r>
            <w:proofErr w:type="spellEnd"/>
            <w:r>
              <w:rPr>
                <w:rFonts w:asciiTheme="minorHAnsi" w:hAnsiTheme="minorHAnsi" w:cstheme="minorHAnsi"/>
              </w:rPr>
              <w:t xml:space="preserve"> wattage</w:t>
            </w:r>
          </w:p>
        </w:tc>
        <w:tc>
          <w:tcPr>
            <w:tcW w:w="4962" w:type="dxa"/>
          </w:tcPr>
          <w:p w14:paraId="10FED6D6" w14:textId="77777777" w:rsidR="00C17069" w:rsidRPr="003C68AF" w:rsidRDefault="00C17069" w:rsidP="00B811E3">
            <w:pPr>
              <w:rPr>
                <w:rFonts w:asciiTheme="minorHAnsi" w:hAnsiTheme="minorHAnsi" w:cstheme="minorHAnsi"/>
              </w:rPr>
            </w:pPr>
            <w:r>
              <w:rPr>
                <w:rFonts w:asciiTheme="minorHAnsi" w:hAnsiTheme="minorHAnsi" w:cstheme="minorHAnsi"/>
              </w:rPr>
              <w:t xml:space="preserve">12W seems to be too low especially for Prof applications where PL-C and PL-T Philips names) are used the most. </w:t>
            </w:r>
          </w:p>
        </w:tc>
        <w:tc>
          <w:tcPr>
            <w:tcW w:w="5103" w:type="dxa"/>
          </w:tcPr>
          <w:p w14:paraId="1B84817F" w14:textId="77777777" w:rsidR="00C17069" w:rsidRPr="003C68AF" w:rsidRDefault="00C17069" w:rsidP="00B811E3">
            <w:pPr>
              <w:ind w:right="0"/>
              <w:rPr>
                <w:rFonts w:asciiTheme="minorHAnsi" w:hAnsiTheme="minorHAnsi" w:cstheme="minorHAnsi"/>
              </w:rPr>
            </w:pPr>
            <w:r>
              <w:rPr>
                <w:rFonts w:asciiTheme="minorHAnsi" w:hAnsiTheme="minorHAnsi" w:cstheme="minorHAnsi"/>
              </w:rPr>
              <w:t xml:space="preserve">Suggest to use more realistic average value for </w:t>
            </w:r>
            <w:proofErr w:type="spellStart"/>
            <w:r>
              <w:rPr>
                <w:rFonts w:asciiTheme="minorHAnsi" w:hAnsiTheme="minorHAnsi" w:cstheme="minorHAnsi"/>
              </w:rPr>
              <w:t>CFLni</w:t>
            </w:r>
            <w:proofErr w:type="spellEnd"/>
            <w:r>
              <w:rPr>
                <w:rFonts w:asciiTheme="minorHAnsi" w:hAnsiTheme="minorHAnsi" w:cstheme="minorHAnsi"/>
              </w:rPr>
              <w:t>, e.g. different average value for Residential and non-residential product families can be used and then adjusted lm/W (e.g. for professional applications see footnote)</w:t>
            </w:r>
            <w:r>
              <w:rPr>
                <w:rStyle w:val="FootnoteReference"/>
                <w:rFonts w:asciiTheme="minorHAnsi" w:hAnsiTheme="minorHAnsi" w:cstheme="minorHAnsi"/>
              </w:rPr>
              <w:footnoteReference w:id="7"/>
            </w:r>
          </w:p>
        </w:tc>
        <w:tc>
          <w:tcPr>
            <w:tcW w:w="708" w:type="dxa"/>
          </w:tcPr>
          <w:p w14:paraId="4568AFFD" w14:textId="77777777" w:rsidR="00C17069" w:rsidRPr="003C68AF" w:rsidRDefault="00C17069" w:rsidP="00B811E3">
            <w:pPr>
              <w:rPr>
                <w:rFonts w:asciiTheme="minorHAnsi" w:hAnsiTheme="minorHAnsi" w:cstheme="minorHAnsi"/>
                <w:highlight w:val="cyan"/>
              </w:rPr>
            </w:pPr>
          </w:p>
        </w:tc>
      </w:tr>
      <w:tr w:rsidR="00C17069" w:rsidRPr="003C68AF" w14:paraId="5A2E45AA" w14:textId="77777777" w:rsidTr="00B811E3">
        <w:tc>
          <w:tcPr>
            <w:tcW w:w="817" w:type="dxa"/>
          </w:tcPr>
          <w:p w14:paraId="61945707"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Task 4</w:t>
            </w:r>
          </w:p>
        </w:tc>
        <w:tc>
          <w:tcPr>
            <w:tcW w:w="995" w:type="dxa"/>
          </w:tcPr>
          <w:p w14:paraId="12DB9DEF"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5.8.3</w:t>
            </w:r>
          </w:p>
        </w:tc>
        <w:tc>
          <w:tcPr>
            <w:tcW w:w="564" w:type="dxa"/>
          </w:tcPr>
          <w:p w14:paraId="0E468D01"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104</w:t>
            </w:r>
          </w:p>
        </w:tc>
        <w:tc>
          <w:tcPr>
            <w:tcW w:w="2268" w:type="dxa"/>
          </w:tcPr>
          <w:p w14:paraId="439C1529" w14:textId="77777777" w:rsidR="00C17069" w:rsidRPr="003C68AF" w:rsidRDefault="00C17069" w:rsidP="00B811E3">
            <w:pPr>
              <w:ind w:right="0"/>
              <w:rPr>
                <w:rFonts w:asciiTheme="minorHAnsi" w:eastAsia="Calibri" w:hAnsiTheme="minorHAnsi" w:cstheme="minorHAnsi"/>
              </w:rPr>
            </w:pPr>
            <w:proofErr w:type="spellStart"/>
            <w:r w:rsidRPr="003C68AF">
              <w:rPr>
                <w:rFonts w:asciiTheme="minorHAnsi" w:eastAsia="Calibri" w:hAnsiTheme="minorHAnsi" w:cstheme="minorHAnsi"/>
              </w:rPr>
              <w:t>CFLni</w:t>
            </w:r>
            <w:proofErr w:type="spellEnd"/>
            <w:r w:rsidRPr="003C68AF">
              <w:rPr>
                <w:rFonts w:asciiTheme="minorHAnsi" w:eastAsia="Calibri" w:hAnsiTheme="minorHAnsi" w:cstheme="minorHAnsi"/>
              </w:rPr>
              <w:t xml:space="preserve"> LED replacement</w:t>
            </w:r>
          </w:p>
        </w:tc>
        <w:tc>
          <w:tcPr>
            <w:tcW w:w="4962" w:type="dxa"/>
          </w:tcPr>
          <w:p w14:paraId="55E4AFC4" w14:textId="77777777" w:rsidR="00C17069" w:rsidRPr="003C68AF" w:rsidRDefault="00C17069" w:rsidP="00B811E3">
            <w:pPr>
              <w:ind w:right="0"/>
              <w:rPr>
                <w:rFonts w:asciiTheme="minorHAnsi" w:eastAsia="Calibri" w:hAnsiTheme="minorHAnsi" w:cstheme="minorHAnsi"/>
              </w:rPr>
            </w:pPr>
            <w:r w:rsidRPr="003C68AF">
              <w:rPr>
                <w:rFonts w:asciiTheme="minorHAnsi" w:eastAsia="Calibri" w:hAnsiTheme="minorHAnsi" w:cstheme="minorHAnsi"/>
              </w:rPr>
              <w:t>Report indicates only electrical compa</w:t>
            </w:r>
            <w:r>
              <w:rPr>
                <w:rFonts w:asciiTheme="minorHAnsi" w:eastAsia="Calibri" w:hAnsiTheme="minorHAnsi" w:cstheme="minorHAnsi"/>
              </w:rPr>
              <w:t xml:space="preserve">tibility (potential) issues with regards to </w:t>
            </w:r>
            <w:r w:rsidRPr="003C68AF">
              <w:rPr>
                <w:rFonts w:asciiTheme="minorHAnsi" w:eastAsia="Calibri" w:hAnsiTheme="minorHAnsi" w:cstheme="minorHAnsi"/>
              </w:rPr>
              <w:t xml:space="preserve">change from conventional </w:t>
            </w:r>
            <w:proofErr w:type="spellStart"/>
            <w:r w:rsidRPr="003C68AF">
              <w:rPr>
                <w:rFonts w:asciiTheme="minorHAnsi" w:eastAsia="Calibri" w:hAnsiTheme="minorHAnsi" w:cstheme="minorHAnsi"/>
              </w:rPr>
              <w:t>CFLni</w:t>
            </w:r>
            <w:proofErr w:type="spellEnd"/>
            <w:r w:rsidRPr="003C68AF">
              <w:rPr>
                <w:rFonts w:asciiTheme="minorHAnsi" w:eastAsia="Calibri" w:hAnsiTheme="minorHAnsi" w:cstheme="minorHAnsi"/>
              </w:rPr>
              <w:t xml:space="preserve"> to LED </w:t>
            </w:r>
            <w:proofErr w:type="spellStart"/>
            <w:r w:rsidRPr="003C68AF">
              <w:rPr>
                <w:rFonts w:asciiTheme="minorHAnsi" w:eastAsia="Calibri" w:hAnsiTheme="minorHAnsi" w:cstheme="minorHAnsi"/>
              </w:rPr>
              <w:t>CFLni</w:t>
            </w:r>
            <w:proofErr w:type="spellEnd"/>
          </w:p>
        </w:tc>
        <w:tc>
          <w:tcPr>
            <w:tcW w:w="5103" w:type="dxa"/>
          </w:tcPr>
          <w:p w14:paraId="4137E54B" w14:textId="77777777" w:rsidR="00C17069" w:rsidRPr="003C68AF" w:rsidRDefault="00C17069" w:rsidP="00B811E3">
            <w:pPr>
              <w:ind w:right="0"/>
              <w:rPr>
                <w:rFonts w:asciiTheme="minorHAnsi" w:eastAsia="Calibri" w:hAnsiTheme="minorHAnsi" w:cstheme="minorHAnsi"/>
              </w:rPr>
            </w:pPr>
            <w:r>
              <w:rPr>
                <w:rFonts w:asciiTheme="minorHAnsi" w:eastAsia="Calibri" w:hAnsiTheme="minorHAnsi" w:cstheme="minorHAnsi"/>
              </w:rPr>
              <w:t xml:space="preserve">Add </w:t>
            </w:r>
            <w:r w:rsidRPr="003C68AF">
              <w:rPr>
                <w:rFonts w:asciiTheme="minorHAnsi" w:eastAsia="Calibri" w:hAnsiTheme="minorHAnsi" w:cstheme="minorHAnsi"/>
              </w:rPr>
              <w:t xml:space="preserve">all differences </w:t>
            </w:r>
            <w:proofErr w:type="spellStart"/>
            <w:r w:rsidRPr="003C68AF">
              <w:rPr>
                <w:rFonts w:asciiTheme="minorHAnsi" w:eastAsia="Calibri" w:hAnsiTheme="minorHAnsi" w:cstheme="minorHAnsi"/>
              </w:rPr>
              <w:t>wrt</w:t>
            </w:r>
            <w:proofErr w:type="spellEnd"/>
            <w:r w:rsidRPr="003C68AF">
              <w:rPr>
                <w:rFonts w:asciiTheme="minorHAnsi" w:eastAsia="Calibri" w:hAnsiTheme="minorHAnsi" w:cstheme="minorHAnsi"/>
              </w:rPr>
              <w:t xml:space="preserve"> light characteristics (light output, distribution, lumen maintenance, directional vs non-directional light), might be also observed as well.</w:t>
            </w:r>
          </w:p>
        </w:tc>
        <w:tc>
          <w:tcPr>
            <w:tcW w:w="708" w:type="dxa"/>
          </w:tcPr>
          <w:p w14:paraId="18644816" w14:textId="77777777" w:rsidR="00C17069" w:rsidRPr="003C68AF" w:rsidRDefault="00C17069" w:rsidP="00B811E3">
            <w:pPr>
              <w:rPr>
                <w:rFonts w:asciiTheme="minorHAnsi" w:hAnsiTheme="minorHAnsi" w:cstheme="minorHAnsi"/>
                <w:highlight w:val="cyan"/>
              </w:rPr>
            </w:pPr>
          </w:p>
        </w:tc>
      </w:tr>
      <w:tr w:rsidR="00C17069" w:rsidRPr="003C68AF" w14:paraId="508D15AC" w14:textId="77777777" w:rsidTr="00B811E3">
        <w:trPr>
          <w:trHeight w:val="240"/>
        </w:trPr>
        <w:tc>
          <w:tcPr>
            <w:tcW w:w="817" w:type="dxa"/>
          </w:tcPr>
          <w:p w14:paraId="3C336426" w14:textId="77777777" w:rsidR="00C17069" w:rsidRPr="003C68AF" w:rsidRDefault="00C17069" w:rsidP="00B811E3">
            <w:pPr>
              <w:ind w:right="-110"/>
              <w:rPr>
                <w:rFonts w:asciiTheme="minorHAnsi" w:hAnsiTheme="minorHAnsi" w:cstheme="minorHAnsi"/>
              </w:rPr>
            </w:pPr>
            <w:r w:rsidRPr="003C68AF">
              <w:rPr>
                <w:rFonts w:asciiTheme="minorHAnsi" w:hAnsiTheme="minorHAnsi" w:cstheme="minorHAnsi"/>
              </w:rPr>
              <w:t>Task 5</w:t>
            </w:r>
          </w:p>
        </w:tc>
        <w:tc>
          <w:tcPr>
            <w:tcW w:w="995" w:type="dxa"/>
          </w:tcPr>
          <w:p w14:paraId="1A95D408" w14:textId="77777777" w:rsidR="00C17069" w:rsidRPr="003C68AF" w:rsidRDefault="00C17069" w:rsidP="00B811E3">
            <w:pPr>
              <w:ind w:right="-94"/>
              <w:rPr>
                <w:rFonts w:asciiTheme="minorHAnsi" w:hAnsiTheme="minorHAnsi" w:cstheme="minorHAnsi"/>
              </w:rPr>
            </w:pPr>
            <w:r w:rsidRPr="003C68AF">
              <w:rPr>
                <w:rFonts w:asciiTheme="minorHAnsi" w:hAnsiTheme="minorHAnsi" w:cstheme="minorHAnsi"/>
              </w:rPr>
              <w:t>4</w:t>
            </w:r>
          </w:p>
        </w:tc>
        <w:tc>
          <w:tcPr>
            <w:tcW w:w="564" w:type="dxa"/>
          </w:tcPr>
          <w:p w14:paraId="00F402AA" w14:textId="77777777" w:rsidR="00C17069" w:rsidRPr="003C68AF" w:rsidRDefault="00C17069" w:rsidP="00B811E3">
            <w:pPr>
              <w:ind w:right="-77"/>
              <w:rPr>
                <w:rFonts w:asciiTheme="minorHAnsi" w:hAnsiTheme="minorHAnsi" w:cstheme="minorHAnsi"/>
              </w:rPr>
            </w:pPr>
            <w:r w:rsidRPr="003C68AF">
              <w:rPr>
                <w:rFonts w:asciiTheme="minorHAnsi" w:hAnsiTheme="minorHAnsi" w:cstheme="minorHAnsi"/>
              </w:rPr>
              <w:t>37</w:t>
            </w:r>
          </w:p>
        </w:tc>
        <w:tc>
          <w:tcPr>
            <w:tcW w:w="2268" w:type="dxa"/>
          </w:tcPr>
          <w:p w14:paraId="2C16D960" w14:textId="77777777" w:rsidR="00C17069" w:rsidRPr="003C68AF" w:rsidRDefault="00C17069" w:rsidP="00B811E3">
            <w:pPr>
              <w:autoSpaceDE w:val="0"/>
              <w:autoSpaceDN w:val="0"/>
              <w:ind w:right="-108"/>
              <w:rPr>
                <w:rFonts w:asciiTheme="minorHAnsi" w:hAnsiTheme="minorHAnsi" w:cstheme="minorHAnsi"/>
              </w:rPr>
            </w:pPr>
            <w:r>
              <w:rPr>
                <w:rFonts w:asciiTheme="minorHAnsi" w:hAnsiTheme="minorHAnsi" w:cstheme="minorHAnsi"/>
              </w:rPr>
              <w:t xml:space="preserve">Low CRI HID vs indoor applications </w:t>
            </w:r>
          </w:p>
        </w:tc>
        <w:tc>
          <w:tcPr>
            <w:tcW w:w="4962" w:type="dxa"/>
          </w:tcPr>
          <w:p w14:paraId="039DF266" w14:textId="77777777" w:rsidR="00C17069" w:rsidRPr="003C68AF" w:rsidRDefault="00C17069" w:rsidP="00B811E3">
            <w:pPr>
              <w:rPr>
                <w:rFonts w:asciiTheme="minorHAnsi" w:hAnsiTheme="minorHAnsi" w:cstheme="minorHAnsi"/>
              </w:rPr>
            </w:pPr>
            <w:r w:rsidRPr="003C68AF">
              <w:rPr>
                <w:rFonts w:asciiTheme="minorHAnsi" w:hAnsiTheme="minorHAnsi" w:cstheme="minorHAnsi"/>
              </w:rPr>
              <w:t xml:space="preserve">In Europe low CRI HID lamps (SOX, HPS) are mostly used in Outdoor applications. </w:t>
            </w:r>
          </w:p>
        </w:tc>
        <w:tc>
          <w:tcPr>
            <w:tcW w:w="5103" w:type="dxa"/>
          </w:tcPr>
          <w:p w14:paraId="5D68ECB6"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Remove the remark on low CRI vs indoor applications.</w:t>
            </w:r>
          </w:p>
        </w:tc>
        <w:tc>
          <w:tcPr>
            <w:tcW w:w="708" w:type="dxa"/>
          </w:tcPr>
          <w:p w14:paraId="1D4DE669" w14:textId="77777777" w:rsidR="00C17069" w:rsidRPr="003C68AF" w:rsidRDefault="00C17069" w:rsidP="00B811E3">
            <w:pPr>
              <w:rPr>
                <w:rFonts w:asciiTheme="minorHAnsi" w:hAnsiTheme="minorHAnsi" w:cstheme="minorHAnsi"/>
                <w:highlight w:val="green"/>
              </w:rPr>
            </w:pPr>
          </w:p>
        </w:tc>
      </w:tr>
      <w:tr w:rsidR="00C17069" w:rsidRPr="003C68AF" w14:paraId="06779287" w14:textId="77777777" w:rsidTr="00B811E3">
        <w:trPr>
          <w:trHeight w:val="359"/>
        </w:trPr>
        <w:tc>
          <w:tcPr>
            <w:tcW w:w="817" w:type="dxa"/>
          </w:tcPr>
          <w:p w14:paraId="4F8544EB"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Task 6</w:t>
            </w:r>
          </w:p>
        </w:tc>
        <w:tc>
          <w:tcPr>
            <w:tcW w:w="995" w:type="dxa"/>
          </w:tcPr>
          <w:p w14:paraId="46B1D89E"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Table 1</w:t>
            </w:r>
          </w:p>
        </w:tc>
        <w:tc>
          <w:tcPr>
            <w:tcW w:w="564" w:type="dxa"/>
          </w:tcPr>
          <w:p w14:paraId="2FCFF8CC"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10</w:t>
            </w:r>
          </w:p>
        </w:tc>
        <w:tc>
          <w:tcPr>
            <w:tcW w:w="2268" w:type="dxa"/>
          </w:tcPr>
          <w:p w14:paraId="588863F4"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Footnote 16</w:t>
            </w:r>
          </w:p>
        </w:tc>
        <w:tc>
          <w:tcPr>
            <w:tcW w:w="4962" w:type="dxa"/>
            <w:shd w:val="clear" w:color="auto" w:fill="auto"/>
          </w:tcPr>
          <w:p w14:paraId="036F6A2D"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 xml:space="preserve">Wrong reference to the product provided </w:t>
            </w:r>
          </w:p>
        </w:tc>
        <w:tc>
          <w:tcPr>
            <w:tcW w:w="5103" w:type="dxa"/>
          </w:tcPr>
          <w:p w14:paraId="6448EE5A"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 xml:space="preserve">Replace with footnote: </w:t>
            </w:r>
            <w:r w:rsidRPr="003C68AF">
              <w:rPr>
                <w:rStyle w:val="FootnoteReference"/>
                <w:rFonts w:asciiTheme="minorHAnsi" w:hAnsiTheme="minorHAnsi" w:cstheme="minorHAnsi"/>
              </w:rPr>
              <w:footnoteReference w:id="8"/>
            </w:r>
            <w:r w:rsidRPr="003C68AF">
              <w:rPr>
                <w:rFonts w:asciiTheme="minorHAnsi" w:hAnsiTheme="minorHAnsi" w:cstheme="minorHAnsi"/>
              </w:rPr>
              <w:t xml:space="preserve"> </w:t>
            </w:r>
          </w:p>
        </w:tc>
        <w:tc>
          <w:tcPr>
            <w:tcW w:w="708" w:type="dxa"/>
          </w:tcPr>
          <w:p w14:paraId="5CECE0C3" w14:textId="77777777" w:rsidR="00C17069" w:rsidRPr="003C68AF" w:rsidRDefault="00C17069" w:rsidP="00B811E3">
            <w:pPr>
              <w:rPr>
                <w:rFonts w:asciiTheme="minorHAnsi" w:hAnsiTheme="minorHAnsi" w:cstheme="minorHAnsi"/>
              </w:rPr>
            </w:pPr>
          </w:p>
        </w:tc>
      </w:tr>
      <w:tr w:rsidR="00C17069" w:rsidRPr="003C68AF" w14:paraId="18EA9DD3" w14:textId="77777777" w:rsidTr="00B811E3">
        <w:trPr>
          <w:trHeight w:val="690"/>
        </w:trPr>
        <w:tc>
          <w:tcPr>
            <w:tcW w:w="817" w:type="dxa"/>
          </w:tcPr>
          <w:p w14:paraId="343CF7EC"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Task 6</w:t>
            </w:r>
          </w:p>
        </w:tc>
        <w:tc>
          <w:tcPr>
            <w:tcW w:w="995" w:type="dxa"/>
          </w:tcPr>
          <w:p w14:paraId="21FFD906"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3.1</w:t>
            </w:r>
          </w:p>
        </w:tc>
        <w:tc>
          <w:tcPr>
            <w:tcW w:w="564" w:type="dxa"/>
          </w:tcPr>
          <w:p w14:paraId="6F358F2C"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10</w:t>
            </w:r>
          </w:p>
        </w:tc>
        <w:tc>
          <w:tcPr>
            <w:tcW w:w="2268" w:type="dxa"/>
          </w:tcPr>
          <w:p w14:paraId="74C27C93"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LFL T8t HE</w:t>
            </w:r>
          </w:p>
        </w:tc>
        <w:tc>
          <w:tcPr>
            <w:tcW w:w="4962" w:type="dxa"/>
          </w:tcPr>
          <w:p w14:paraId="6431FB53" w14:textId="77777777" w:rsidR="00C17069" w:rsidRPr="003C68AF" w:rsidRDefault="00C17069" w:rsidP="00B811E3">
            <w:pPr>
              <w:ind w:right="0"/>
              <w:rPr>
                <w:rFonts w:asciiTheme="minorHAnsi" w:eastAsia="Calibri" w:hAnsiTheme="minorHAnsi" w:cstheme="minorHAnsi"/>
              </w:rPr>
            </w:pPr>
            <w:r w:rsidRPr="003C68AF">
              <w:rPr>
                <w:rFonts w:asciiTheme="minorHAnsi" w:eastAsia="Calibri" w:hAnsiTheme="minorHAnsi" w:cstheme="minorHAnsi"/>
              </w:rPr>
              <w:t xml:space="preserve">In this section lamps with different lengths are compared with each other (30W lamps vs 32/36W lamp), which cannot operate in the same application. </w:t>
            </w:r>
          </w:p>
        </w:tc>
        <w:tc>
          <w:tcPr>
            <w:tcW w:w="5103" w:type="dxa"/>
          </w:tcPr>
          <w:p w14:paraId="6C839CF4"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Suggest to use the same length as comparison basis = application wise (luminaire)</w:t>
            </w:r>
          </w:p>
        </w:tc>
        <w:tc>
          <w:tcPr>
            <w:tcW w:w="708" w:type="dxa"/>
          </w:tcPr>
          <w:p w14:paraId="10293BDF" w14:textId="77777777" w:rsidR="00C17069" w:rsidRPr="003C68AF" w:rsidRDefault="00C17069" w:rsidP="00B811E3">
            <w:pPr>
              <w:rPr>
                <w:rFonts w:asciiTheme="minorHAnsi" w:hAnsiTheme="minorHAnsi" w:cstheme="minorHAnsi"/>
              </w:rPr>
            </w:pPr>
          </w:p>
        </w:tc>
      </w:tr>
      <w:tr w:rsidR="00C17069" w:rsidRPr="003C68AF" w14:paraId="6287023D" w14:textId="77777777" w:rsidTr="00B811E3">
        <w:trPr>
          <w:trHeight w:val="484"/>
        </w:trPr>
        <w:tc>
          <w:tcPr>
            <w:tcW w:w="817" w:type="dxa"/>
          </w:tcPr>
          <w:p w14:paraId="7BB569E3"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Task 6</w:t>
            </w:r>
          </w:p>
        </w:tc>
        <w:tc>
          <w:tcPr>
            <w:tcW w:w="995" w:type="dxa"/>
          </w:tcPr>
          <w:p w14:paraId="79AC192E"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3.1</w:t>
            </w:r>
          </w:p>
        </w:tc>
        <w:tc>
          <w:tcPr>
            <w:tcW w:w="564" w:type="dxa"/>
          </w:tcPr>
          <w:p w14:paraId="5A4EF351"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10</w:t>
            </w:r>
          </w:p>
        </w:tc>
        <w:tc>
          <w:tcPr>
            <w:tcW w:w="2268" w:type="dxa"/>
          </w:tcPr>
          <w:p w14:paraId="21D96323"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LFL T8t HE</w:t>
            </w:r>
          </w:p>
        </w:tc>
        <w:tc>
          <w:tcPr>
            <w:tcW w:w="4962" w:type="dxa"/>
          </w:tcPr>
          <w:p w14:paraId="2BBD0118" w14:textId="77777777" w:rsidR="00C17069" w:rsidRPr="003C68AF" w:rsidRDefault="00C17069" w:rsidP="00B811E3">
            <w:pPr>
              <w:ind w:right="0"/>
              <w:rPr>
                <w:rFonts w:asciiTheme="minorHAnsi" w:eastAsia="Calibri" w:hAnsiTheme="minorHAnsi" w:cstheme="minorHAnsi"/>
              </w:rPr>
            </w:pPr>
            <w:r w:rsidRPr="003C68AF">
              <w:rPr>
                <w:rFonts w:asciiTheme="minorHAnsi" w:eastAsia="Calibri" w:hAnsiTheme="minorHAnsi" w:cstheme="minorHAnsi"/>
              </w:rPr>
              <w:t>Lack of information which life time characteristics is taken into account (EM, HF warm/cold)</w:t>
            </w:r>
          </w:p>
        </w:tc>
        <w:tc>
          <w:tcPr>
            <w:tcW w:w="5103" w:type="dxa"/>
          </w:tcPr>
          <w:p w14:paraId="0CDFC539" w14:textId="77777777" w:rsidR="00C17069" w:rsidRPr="003C68AF" w:rsidRDefault="00C17069" w:rsidP="00B811E3">
            <w:pPr>
              <w:ind w:right="0"/>
              <w:rPr>
                <w:rFonts w:asciiTheme="minorHAnsi" w:hAnsiTheme="minorHAnsi" w:cstheme="minorHAnsi"/>
              </w:rPr>
            </w:pPr>
            <w:r>
              <w:rPr>
                <w:rFonts w:asciiTheme="minorHAnsi" w:hAnsiTheme="minorHAnsi" w:cstheme="minorHAnsi"/>
              </w:rPr>
              <w:t>C</w:t>
            </w:r>
            <w:r w:rsidRPr="003C68AF">
              <w:rPr>
                <w:rFonts w:asciiTheme="minorHAnsi" w:hAnsiTheme="minorHAnsi" w:cstheme="minorHAnsi"/>
              </w:rPr>
              <w:t>larif</w:t>
            </w:r>
            <w:r>
              <w:rPr>
                <w:rFonts w:asciiTheme="minorHAnsi" w:hAnsiTheme="minorHAnsi" w:cstheme="minorHAnsi"/>
              </w:rPr>
              <w:t>y lifetime specs</w:t>
            </w:r>
            <w:r w:rsidRPr="003C68AF">
              <w:rPr>
                <w:rFonts w:asciiTheme="minorHAnsi" w:hAnsiTheme="minorHAnsi" w:cstheme="minorHAnsi"/>
              </w:rPr>
              <w:t>.</w:t>
            </w:r>
          </w:p>
        </w:tc>
        <w:tc>
          <w:tcPr>
            <w:tcW w:w="708" w:type="dxa"/>
          </w:tcPr>
          <w:p w14:paraId="7F9DC477" w14:textId="77777777" w:rsidR="00C17069" w:rsidRPr="003C68AF" w:rsidRDefault="00C17069" w:rsidP="00B811E3">
            <w:pPr>
              <w:rPr>
                <w:rFonts w:asciiTheme="minorHAnsi" w:hAnsiTheme="minorHAnsi" w:cstheme="minorHAnsi"/>
              </w:rPr>
            </w:pPr>
          </w:p>
        </w:tc>
      </w:tr>
      <w:tr w:rsidR="00C17069" w:rsidRPr="003C68AF" w14:paraId="35BDDBA4" w14:textId="77777777" w:rsidTr="00B811E3">
        <w:trPr>
          <w:trHeight w:val="1134"/>
        </w:trPr>
        <w:tc>
          <w:tcPr>
            <w:tcW w:w="817" w:type="dxa"/>
          </w:tcPr>
          <w:p w14:paraId="706DC57C"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lastRenderedPageBreak/>
              <w:t>Task 6</w:t>
            </w:r>
          </w:p>
        </w:tc>
        <w:tc>
          <w:tcPr>
            <w:tcW w:w="995" w:type="dxa"/>
          </w:tcPr>
          <w:p w14:paraId="3E3E1265"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3.2</w:t>
            </w:r>
          </w:p>
        </w:tc>
        <w:tc>
          <w:tcPr>
            <w:tcW w:w="564" w:type="dxa"/>
          </w:tcPr>
          <w:p w14:paraId="6E547931"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15</w:t>
            </w:r>
          </w:p>
        </w:tc>
        <w:tc>
          <w:tcPr>
            <w:tcW w:w="2268" w:type="dxa"/>
          </w:tcPr>
          <w:p w14:paraId="39BA3819" w14:textId="77777777" w:rsidR="00C17069" w:rsidRPr="001A3880" w:rsidRDefault="00C17069" w:rsidP="00B811E3">
            <w:pPr>
              <w:widowControl/>
              <w:autoSpaceDE w:val="0"/>
              <w:autoSpaceDN w:val="0"/>
              <w:adjustRightInd w:val="0"/>
              <w:ind w:right="0"/>
              <w:rPr>
                <w:rFonts w:asciiTheme="minorHAnsi" w:eastAsiaTheme="minorHAnsi" w:hAnsiTheme="minorHAnsi" w:cstheme="minorHAnsi"/>
                <w:spacing w:val="0"/>
                <w:lang w:val="en-US"/>
              </w:rPr>
            </w:pPr>
            <w:r w:rsidRPr="003C68AF">
              <w:rPr>
                <w:rFonts w:asciiTheme="minorHAnsi" w:eastAsiaTheme="minorHAnsi" w:hAnsiTheme="minorHAnsi" w:cstheme="minorHAnsi"/>
                <w:spacing w:val="0"/>
                <w:lang w:val="en-US"/>
              </w:rPr>
              <w:t xml:space="preserve">LFL T5 </w:t>
            </w:r>
            <w:proofErr w:type="gramStart"/>
            <w:r w:rsidRPr="003C68AF">
              <w:rPr>
                <w:rFonts w:asciiTheme="minorHAnsi" w:eastAsiaTheme="minorHAnsi" w:hAnsiTheme="minorHAnsi" w:cstheme="minorHAnsi"/>
                <w:spacing w:val="0"/>
                <w:lang w:val="en-US"/>
              </w:rPr>
              <w:t>BC :</w:t>
            </w:r>
            <w:proofErr w:type="gramEnd"/>
            <w:r w:rsidRPr="003C68AF">
              <w:rPr>
                <w:rFonts w:asciiTheme="minorHAnsi" w:eastAsiaTheme="minorHAnsi" w:hAnsiTheme="minorHAnsi" w:cstheme="minorHAnsi"/>
                <w:spacing w:val="0"/>
                <w:lang w:val="en-US"/>
              </w:rPr>
              <w:t xml:space="preserve"> this is the base case described in </w:t>
            </w:r>
            <w:r>
              <w:rPr>
                <w:rFonts w:asciiTheme="minorHAnsi" w:eastAsiaTheme="minorHAnsi" w:hAnsiTheme="minorHAnsi" w:cstheme="minorHAnsi"/>
                <w:spacing w:val="0"/>
                <w:lang w:val="en-US"/>
              </w:rPr>
              <w:t xml:space="preserve">the Task 4 report, par. 5.5. It </w:t>
            </w:r>
            <w:r w:rsidRPr="003C68AF">
              <w:rPr>
                <w:rFonts w:asciiTheme="minorHAnsi" w:eastAsiaTheme="minorHAnsi" w:hAnsiTheme="minorHAnsi" w:cstheme="minorHAnsi"/>
                <w:spacing w:val="0"/>
                <w:lang w:val="en-US"/>
              </w:rPr>
              <w:t>represents the EU-28 average LFL T8 tri-phosphor lamp.</w:t>
            </w:r>
          </w:p>
        </w:tc>
        <w:tc>
          <w:tcPr>
            <w:tcW w:w="4962" w:type="dxa"/>
          </w:tcPr>
          <w:p w14:paraId="3806F51E" w14:textId="77777777" w:rsidR="00C17069" w:rsidRPr="003C68AF" w:rsidRDefault="00C17069" w:rsidP="00B811E3">
            <w:pPr>
              <w:ind w:right="0"/>
              <w:rPr>
                <w:rFonts w:asciiTheme="minorHAnsi" w:eastAsia="Calibri" w:hAnsiTheme="minorHAnsi" w:cstheme="minorHAnsi"/>
              </w:rPr>
            </w:pPr>
            <w:r w:rsidRPr="003C68AF">
              <w:rPr>
                <w:rFonts w:asciiTheme="minorHAnsi" w:eastAsia="Calibri" w:hAnsiTheme="minorHAnsi" w:cstheme="minorHAnsi"/>
              </w:rPr>
              <w:t>Typo</w:t>
            </w:r>
          </w:p>
        </w:tc>
        <w:tc>
          <w:tcPr>
            <w:tcW w:w="5103" w:type="dxa"/>
          </w:tcPr>
          <w:p w14:paraId="7DF65829" w14:textId="77777777" w:rsidR="00C17069" w:rsidRPr="003C68AF" w:rsidRDefault="00C17069" w:rsidP="00B811E3">
            <w:pPr>
              <w:widowControl/>
              <w:autoSpaceDE w:val="0"/>
              <w:autoSpaceDN w:val="0"/>
              <w:adjustRightInd w:val="0"/>
              <w:ind w:right="0"/>
              <w:rPr>
                <w:rFonts w:asciiTheme="minorHAnsi" w:hAnsiTheme="minorHAnsi" w:cstheme="minorHAnsi"/>
              </w:rPr>
            </w:pPr>
            <w:r w:rsidRPr="003C68AF">
              <w:rPr>
                <w:rFonts w:asciiTheme="minorHAnsi" w:eastAsiaTheme="minorHAnsi" w:hAnsiTheme="minorHAnsi" w:cstheme="minorHAnsi"/>
                <w:spacing w:val="0"/>
                <w:lang w:val="en-US"/>
              </w:rPr>
              <w:t xml:space="preserve">LFL T5 </w:t>
            </w:r>
            <w:proofErr w:type="gramStart"/>
            <w:r w:rsidRPr="003C68AF">
              <w:rPr>
                <w:rFonts w:asciiTheme="minorHAnsi" w:eastAsiaTheme="minorHAnsi" w:hAnsiTheme="minorHAnsi" w:cstheme="minorHAnsi"/>
                <w:spacing w:val="0"/>
                <w:lang w:val="en-US"/>
              </w:rPr>
              <w:t>BC :</w:t>
            </w:r>
            <w:proofErr w:type="gramEnd"/>
            <w:r w:rsidRPr="003C68AF">
              <w:rPr>
                <w:rFonts w:asciiTheme="minorHAnsi" w:eastAsiaTheme="minorHAnsi" w:hAnsiTheme="minorHAnsi" w:cstheme="minorHAnsi"/>
                <w:spacing w:val="0"/>
                <w:lang w:val="en-US"/>
              </w:rPr>
              <w:t xml:space="preserve"> this is the base case described in the Task 4 report, par. 5.5. It</w:t>
            </w:r>
            <w:r>
              <w:rPr>
                <w:rFonts w:asciiTheme="minorHAnsi" w:eastAsiaTheme="minorHAnsi" w:hAnsiTheme="minorHAnsi" w:cstheme="minorHAnsi"/>
                <w:spacing w:val="0"/>
                <w:lang w:val="en-US"/>
              </w:rPr>
              <w:t xml:space="preserve"> </w:t>
            </w:r>
            <w:r w:rsidRPr="003C68AF">
              <w:rPr>
                <w:rFonts w:asciiTheme="minorHAnsi" w:eastAsiaTheme="minorHAnsi" w:hAnsiTheme="minorHAnsi" w:cstheme="minorHAnsi"/>
                <w:spacing w:val="0"/>
                <w:lang w:val="en-US"/>
              </w:rPr>
              <w:t>represents the EU-28 average LFL T</w:t>
            </w:r>
            <w:r w:rsidRPr="003C68AF">
              <w:rPr>
                <w:rFonts w:asciiTheme="minorHAnsi" w:eastAsiaTheme="minorHAnsi" w:hAnsiTheme="minorHAnsi" w:cstheme="minorHAnsi"/>
                <w:b/>
                <w:spacing w:val="0"/>
                <w:lang w:val="en-US"/>
              </w:rPr>
              <w:t>5</w:t>
            </w:r>
            <w:r w:rsidRPr="003C68AF">
              <w:rPr>
                <w:rFonts w:asciiTheme="minorHAnsi" w:eastAsiaTheme="minorHAnsi" w:hAnsiTheme="minorHAnsi" w:cstheme="minorHAnsi"/>
                <w:spacing w:val="0"/>
                <w:lang w:val="en-US"/>
              </w:rPr>
              <w:t xml:space="preserve"> tri-phosphor lamp.</w:t>
            </w:r>
          </w:p>
        </w:tc>
        <w:tc>
          <w:tcPr>
            <w:tcW w:w="708" w:type="dxa"/>
          </w:tcPr>
          <w:p w14:paraId="6EA11C0C" w14:textId="77777777" w:rsidR="00C17069" w:rsidRPr="003C68AF" w:rsidRDefault="00C17069" w:rsidP="00B811E3">
            <w:pPr>
              <w:rPr>
                <w:rFonts w:asciiTheme="minorHAnsi" w:hAnsiTheme="minorHAnsi" w:cstheme="minorHAnsi"/>
              </w:rPr>
            </w:pPr>
          </w:p>
        </w:tc>
      </w:tr>
      <w:tr w:rsidR="00C17069" w:rsidRPr="003C68AF" w14:paraId="71A0C217" w14:textId="77777777" w:rsidTr="00B811E3">
        <w:trPr>
          <w:trHeight w:val="1134"/>
        </w:trPr>
        <w:tc>
          <w:tcPr>
            <w:tcW w:w="817" w:type="dxa"/>
          </w:tcPr>
          <w:p w14:paraId="4F9FEFFA"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Task 6</w:t>
            </w:r>
          </w:p>
        </w:tc>
        <w:tc>
          <w:tcPr>
            <w:tcW w:w="995" w:type="dxa"/>
          </w:tcPr>
          <w:p w14:paraId="45C63C03"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3.2</w:t>
            </w:r>
          </w:p>
        </w:tc>
        <w:tc>
          <w:tcPr>
            <w:tcW w:w="564" w:type="dxa"/>
          </w:tcPr>
          <w:p w14:paraId="60F91209"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15</w:t>
            </w:r>
          </w:p>
        </w:tc>
        <w:tc>
          <w:tcPr>
            <w:tcW w:w="2268" w:type="dxa"/>
          </w:tcPr>
          <w:p w14:paraId="4E35C008" w14:textId="77777777" w:rsidR="00C17069" w:rsidRPr="003C68AF" w:rsidRDefault="00C17069" w:rsidP="00B811E3">
            <w:pPr>
              <w:widowControl/>
              <w:autoSpaceDE w:val="0"/>
              <w:autoSpaceDN w:val="0"/>
              <w:adjustRightInd w:val="0"/>
              <w:ind w:right="0"/>
              <w:rPr>
                <w:rFonts w:asciiTheme="minorHAnsi" w:eastAsiaTheme="minorHAnsi" w:hAnsiTheme="minorHAnsi" w:cstheme="minorHAnsi"/>
                <w:spacing w:val="0"/>
                <w:lang w:val="en-US"/>
              </w:rPr>
            </w:pPr>
            <w:r w:rsidRPr="003C68AF">
              <w:rPr>
                <w:rFonts w:asciiTheme="minorHAnsi" w:eastAsiaTheme="minorHAnsi" w:hAnsiTheme="minorHAnsi" w:cstheme="minorHAnsi"/>
                <w:spacing w:val="0"/>
                <w:lang w:val="en-US"/>
              </w:rPr>
              <w:t>LFL T5 HE</w:t>
            </w:r>
          </w:p>
        </w:tc>
        <w:tc>
          <w:tcPr>
            <w:tcW w:w="4962" w:type="dxa"/>
          </w:tcPr>
          <w:p w14:paraId="7F14C7CC" w14:textId="77777777" w:rsidR="00C17069" w:rsidRPr="003C68AF" w:rsidRDefault="00C17069" w:rsidP="00B811E3">
            <w:pPr>
              <w:ind w:right="0"/>
              <w:rPr>
                <w:rFonts w:asciiTheme="minorHAnsi" w:eastAsia="Calibri" w:hAnsiTheme="minorHAnsi" w:cstheme="minorHAnsi"/>
              </w:rPr>
            </w:pPr>
            <w:r w:rsidRPr="003C68AF">
              <w:rPr>
                <w:rFonts w:asciiTheme="minorHAnsi" w:eastAsia="Calibri" w:hAnsiTheme="minorHAnsi" w:cstheme="minorHAnsi"/>
              </w:rPr>
              <w:t xml:space="preserve">Not clear which lamps are compared with each other, similarly to T8 lamp comparison should be done on </w:t>
            </w:r>
            <w:proofErr w:type="gramStart"/>
            <w:r w:rsidRPr="003C68AF">
              <w:rPr>
                <w:rFonts w:asciiTheme="minorHAnsi" w:eastAsia="Calibri" w:hAnsiTheme="minorHAnsi" w:cstheme="minorHAnsi"/>
              </w:rPr>
              <w:t>length  basis</w:t>
            </w:r>
            <w:proofErr w:type="gramEnd"/>
            <w:r w:rsidRPr="003C68AF">
              <w:rPr>
                <w:rFonts w:asciiTheme="minorHAnsi" w:eastAsia="Calibri" w:hAnsiTheme="minorHAnsi" w:cstheme="minorHAnsi"/>
              </w:rPr>
              <w:t xml:space="preserve"> (application, luminaire). Also not clear the source for comment on Hg content difference between T5 HE and T5 HE Eco (Philips case), both having 1,4mg published values.</w:t>
            </w:r>
          </w:p>
          <w:p w14:paraId="5B41D598" w14:textId="77777777" w:rsidR="00C17069" w:rsidRPr="003C68AF" w:rsidRDefault="00C17069" w:rsidP="00B811E3">
            <w:pPr>
              <w:ind w:right="0"/>
              <w:rPr>
                <w:rFonts w:asciiTheme="minorHAnsi" w:eastAsia="Calibri" w:hAnsiTheme="minorHAnsi" w:cstheme="minorHAnsi"/>
              </w:rPr>
            </w:pPr>
          </w:p>
          <w:p w14:paraId="07AC050F" w14:textId="77777777" w:rsidR="00C17069" w:rsidRPr="003C68AF" w:rsidRDefault="00C17069" w:rsidP="00B811E3">
            <w:pPr>
              <w:ind w:right="0"/>
              <w:rPr>
                <w:rFonts w:asciiTheme="minorHAnsi" w:eastAsia="Calibri" w:hAnsiTheme="minorHAnsi" w:cstheme="minorHAnsi"/>
              </w:rPr>
            </w:pPr>
            <w:r w:rsidRPr="003C68AF">
              <w:rPr>
                <w:rFonts w:asciiTheme="minorHAnsi" w:eastAsia="Calibri" w:hAnsiTheme="minorHAnsi" w:cstheme="minorHAnsi"/>
              </w:rPr>
              <w:t>Examples for 4ft = 115cm:</w:t>
            </w:r>
          </w:p>
          <w:p w14:paraId="6D4AC5F2" w14:textId="77777777" w:rsidR="00C17069" w:rsidRPr="003C68AF" w:rsidRDefault="00C17069" w:rsidP="00B811E3">
            <w:pPr>
              <w:ind w:right="0"/>
              <w:rPr>
                <w:rFonts w:asciiTheme="minorHAnsi" w:eastAsia="Calibri" w:hAnsiTheme="minorHAnsi" w:cstheme="minorHAnsi"/>
                <w:lang w:val="pl-PL"/>
              </w:rPr>
            </w:pPr>
            <w:r w:rsidRPr="003C68AF">
              <w:rPr>
                <w:rFonts w:asciiTheme="minorHAnsi" w:eastAsia="Calibri" w:hAnsiTheme="minorHAnsi" w:cstheme="minorHAnsi"/>
                <w:lang w:val="pl-PL"/>
              </w:rPr>
              <w:t>T5 HE: 28W lm/W = 94 (25C);  =104 (35C)</w:t>
            </w:r>
          </w:p>
          <w:p w14:paraId="6898C947" w14:textId="77777777" w:rsidR="00C17069" w:rsidRPr="003C68AF" w:rsidRDefault="00C17069" w:rsidP="00B811E3">
            <w:pPr>
              <w:ind w:right="0"/>
              <w:rPr>
                <w:rFonts w:asciiTheme="minorHAnsi" w:eastAsia="Calibri" w:hAnsiTheme="minorHAnsi" w:cstheme="minorHAnsi"/>
                <w:lang w:val="pl-PL"/>
              </w:rPr>
            </w:pPr>
            <w:r w:rsidRPr="003C68AF">
              <w:rPr>
                <w:rFonts w:asciiTheme="minorHAnsi" w:eastAsia="Calibri" w:hAnsiTheme="minorHAnsi" w:cstheme="minorHAnsi"/>
                <w:lang w:val="pl-PL"/>
              </w:rPr>
              <w:t>T5 HE Eco : 25=28W lm/W = 103 (25C);  =114 (35C)</w:t>
            </w:r>
          </w:p>
          <w:p w14:paraId="486E8614" w14:textId="77777777" w:rsidR="00C17069" w:rsidRPr="003C68AF" w:rsidRDefault="00C17069" w:rsidP="00B811E3">
            <w:pPr>
              <w:ind w:right="0"/>
              <w:rPr>
                <w:rFonts w:asciiTheme="minorHAnsi" w:eastAsia="Calibri" w:hAnsiTheme="minorHAnsi" w:cstheme="minorHAnsi"/>
                <w:lang w:val="pl-PL"/>
              </w:rPr>
            </w:pPr>
            <w:r w:rsidRPr="003C68AF">
              <w:rPr>
                <w:rFonts w:asciiTheme="minorHAnsi" w:eastAsia="Calibri" w:hAnsiTheme="minorHAnsi" w:cstheme="minorHAnsi"/>
                <w:lang w:val="pl-PL"/>
              </w:rPr>
              <w:t>T5 HE Xtra Eco: 25=28W lm/W = 103 (25C);  =114 (35C)</w:t>
            </w:r>
          </w:p>
        </w:tc>
        <w:tc>
          <w:tcPr>
            <w:tcW w:w="5103" w:type="dxa"/>
          </w:tcPr>
          <w:p w14:paraId="531A8C93" w14:textId="77777777" w:rsidR="00C17069" w:rsidRPr="003C68AF" w:rsidRDefault="00C17069" w:rsidP="00B811E3">
            <w:pPr>
              <w:widowControl/>
              <w:autoSpaceDE w:val="0"/>
              <w:autoSpaceDN w:val="0"/>
              <w:adjustRightInd w:val="0"/>
              <w:ind w:right="0"/>
              <w:rPr>
                <w:rFonts w:asciiTheme="minorHAnsi" w:eastAsiaTheme="minorHAnsi" w:hAnsiTheme="minorHAnsi" w:cstheme="minorHAnsi"/>
                <w:spacing w:val="0"/>
                <w:lang w:val="en-US"/>
              </w:rPr>
            </w:pPr>
            <w:r w:rsidRPr="003C68AF">
              <w:rPr>
                <w:rFonts w:asciiTheme="minorHAnsi" w:eastAsiaTheme="minorHAnsi" w:hAnsiTheme="minorHAnsi" w:cstheme="minorHAnsi"/>
                <w:spacing w:val="0"/>
                <w:lang w:val="en-US"/>
              </w:rPr>
              <w:t>Provide more clear split between product groups and their definition now it can be confused with family names used by lamps manufacturers (e.g. Philips T5 HE lamps = High Efficiency)</w:t>
            </w:r>
          </w:p>
        </w:tc>
        <w:tc>
          <w:tcPr>
            <w:tcW w:w="708" w:type="dxa"/>
          </w:tcPr>
          <w:p w14:paraId="3C8FBF0A" w14:textId="77777777" w:rsidR="00C17069" w:rsidRPr="003C68AF" w:rsidRDefault="00C17069" w:rsidP="00B811E3">
            <w:pPr>
              <w:rPr>
                <w:rFonts w:asciiTheme="minorHAnsi" w:hAnsiTheme="minorHAnsi" w:cstheme="minorHAnsi"/>
                <w:lang w:val="en-US"/>
              </w:rPr>
            </w:pPr>
          </w:p>
        </w:tc>
      </w:tr>
      <w:tr w:rsidR="00C17069" w:rsidRPr="003C68AF" w14:paraId="4308A5C3" w14:textId="77777777" w:rsidTr="00B811E3">
        <w:trPr>
          <w:trHeight w:val="487"/>
        </w:trPr>
        <w:tc>
          <w:tcPr>
            <w:tcW w:w="817" w:type="dxa"/>
          </w:tcPr>
          <w:p w14:paraId="3F42D5EE"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Task 6</w:t>
            </w:r>
          </w:p>
        </w:tc>
        <w:tc>
          <w:tcPr>
            <w:tcW w:w="995" w:type="dxa"/>
          </w:tcPr>
          <w:p w14:paraId="0215E2C2"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3.2</w:t>
            </w:r>
          </w:p>
        </w:tc>
        <w:tc>
          <w:tcPr>
            <w:tcW w:w="564" w:type="dxa"/>
          </w:tcPr>
          <w:p w14:paraId="1CA8D10B"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 xml:space="preserve">15 </w:t>
            </w:r>
            <w:r>
              <w:rPr>
                <w:rFonts w:asciiTheme="minorHAnsi" w:hAnsiTheme="minorHAnsi" w:cstheme="minorHAnsi"/>
              </w:rPr>
              <w:t>,</w:t>
            </w:r>
            <w:r w:rsidRPr="003C68AF">
              <w:rPr>
                <w:rFonts w:asciiTheme="minorHAnsi" w:hAnsiTheme="minorHAnsi" w:cstheme="minorHAnsi"/>
              </w:rPr>
              <w:t xml:space="preserve"> 17</w:t>
            </w:r>
          </w:p>
        </w:tc>
        <w:tc>
          <w:tcPr>
            <w:tcW w:w="2268" w:type="dxa"/>
          </w:tcPr>
          <w:p w14:paraId="13685F0E" w14:textId="77777777" w:rsidR="00C17069" w:rsidRPr="003C68AF" w:rsidRDefault="00C17069" w:rsidP="00B811E3">
            <w:pPr>
              <w:widowControl/>
              <w:autoSpaceDE w:val="0"/>
              <w:autoSpaceDN w:val="0"/>
              <w:adjustRightInd w:val="0"/>
              <w:ind w:right="0"/>
              <w:rPr>
                <w:rFonts w:asciiTheme="minorHAnsi" w:eastAsiaTheme="minorHAnsi" w:hAnsiTheme="minorHAnsi" w:cstheme="minorHAnsi"/>
                <w:spacing w:val="0"/>
                <w:lang w:val="en-US"/>
              </w:rPr>
            </w:pPr>
            <w:r w:rsidRPr="003C68AF">
              <w:rPr>
                <w:rFonts w:asciiTheme="minorHAnsi" w:eastAsiaTheme="minorHAnsi" w:hAnsiTheme="minorHAnsi" w:cstheme="minorHAnsi"/>
                <w:spacing w:val="0"/>
                <w:lang w:val="en-US"/>
              </w:rPr>
              <w:t xml:space="preserve">Footnote 23 </w:t>
            </w:r>
          </w:p>
        </w:tc>
        <w:tc>
          <w:tcPr>
            <w:tcW w:w="4962" w:type="dxa"/>
          </w:tcPr>
          <w:p w14:paraId="26134E37" w14:textId="77777777" w:rsidR="00C17069" w:rsidRPr="003C68AF" w:rsidRDefault="00C17069" w:rsidP="00B811E3">
            <w:pPr>
              <w:ind w:right="0"/>
              <w:rPr>
                <w:rFonts w:asciiTheme="minorHAnsi" w:eastAsia="Calibri" w:hAnsiTheme="minorHAnsi" w:cstheme="minorHAnsi"/>
              </w:rPr>
            </w:pPr>
          </w:p>
        </w:tc>
        <w:tc>
          <w:tcPr>
            <w:tcW w:w="5103" w:type="dxa"/>
          </w:tcPr>
          <w:p w14:paraId="4DAC5B50" w14:textId="77777777" w:rsidR="00C17069" w:rsidRPr="003C68AF" w:rsidRDefault="00C17069" w:rsidP="00B811E3">
            <w:pPr>
              <w:widowControl/>
              <w:autoSpaceDE w:val="0"/>
              <w:autoSpaceDN w:val="0"/>
              <w:adjustRightInd w:val="0"/>
              <w:ind w:right="0"/>
              <w:rPr>
                <w:rFonts w:asciiTheme="minorHAnsi" w:eastAsiaTheme="minorHAnsi" w:hAnsiTheme="minorHAnsi" w:cstheme="minorHAnsi"/>
                <w:spacing w:val="0"/>
                <w:lang w:val="en-US"/>
              </w:rPr>
            </w:pPr>
            <w:r w:rsidRPr="003C68AF">
              <w:rPr>
                <w:rFonts w:asciiTheme="minorHAnsi" w:eastAsiaTheme="minorHAnsi" w:hAnsiTheme="minorHAnsi" w:cstheme="minorHAnsi"/>
                <w:spacing w:val="0"/>
                <w:lang w:val="en-US"/>
              </w:rPr>
              <w:t xml:space="preserve">T5 lamps are optimized for working temperature = 35C, suggest to add also </w:t>
            </w:r>
            <w:r>
              <w:rPr>
                <w:rFonts w:asciiTheme="minorHAnsi" w:eastAsiaTheme="minorHAnsi" w:hAnsiTheme="minorHAnsi" w:cstheme="minorHAnsi"/>
                <w:spacing w:val="0"/>
                <w:lang w:val="en-US"/>
              </w:rPr>
              <w:t>those curves to existing graphs.</w:t>
            </w:r>
          </w:p>
        </w:tc>
        <w:tc>
          <w:tcPr>
            <w:tcW w:w="708" w:type="dxa"/>
          </w:tcPr>
          <w:p w14:paraId="6837E2E7" w14:textId="77777777" w:rsidR="00C17069" w:rsidRPr="003C68AF" w:rsidRDefault="00C17069" w:rsidP="00B811E3">
            <w:pPr>
              <w:rPr>
                <w:rFonts w:asciiTheme="minorHAnsi" w:hAnsiTheme="minorHAnsi" w:cstheme="minorHAnsi"/>
                <w:lang w:val="en-US"/>
              </w:rPr>
            </w:pPr>
          </w:p>
        </w:tc>
      </w:tr>
      <w:tr w:rsidR="00C17069" w:rsidRPr="003C68AF" w14:paraId="2330C7E3" w14:textId="77777777" w:rsidTr="00B811E3">
        <w:trPr>
          <w:trHeight w:val="659"/>
        </w:trPr>
        <w:tc>
          <w:tcPr>
            <w:tcW w:w="817" w:type="dxa"/>
          </w:tcPr>
          <w:p w14:paraId="3DCC0E9E"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Task 6</w:t>
            </w:r>
          </w:p>
        </w:tc>
        <w:tc>
          <w:tcPr>
            <w:tcW w:w="995" w:type="dxa"/>
          </w:tcPr>
          <w:p w14:paraId="5859A900" w14:textId="77777777" w:rsidR="00C17069" w:rsidRPr="003C68AF" w:rsidRDefault="00C17069" w:rsidP="00B811E3">
            <w:pPr>
              <w:ind w:right="0"/>
              <w:rPr>
                <w:rFonts w:asciiTheme="minorHAnsi" w:hAnsiTheme="minorHAnsi" w:cstheme="minorHAnsi"/>
              </w:rPr>
            </w:pPr>
            <w:r w:rsidRPr="003C68AF">
              <w:rPr>
                <w:rFonts w:asciiTheme="minorHAnsi" w:hAnsiTheme="minorHAnsi" w:cstheme="minorHAnsi"/>
              </w:rPr>
              <w:t>3.2</w:t>
            </w:r>
          </w:p>
        </w:tc>
        <w:tc>
          <w:tcPr>
            <w:tcW w:w="564" w:type="dxa"/>
          </w:tcPr>
          <w:p w14:paraId="02B54A88" w14:textId="77777777" w:rsidR="00C17069" w:rsidRPr="003C68AF" w:rsidRDefault="00C17069" w:rsidP="00B811E3">
            <w:pPr>
              <w:ind w:right="0"/>
              <w:rPr>
                <w:rFonts w:asciiTheme="minorHAnsi" w:hAnsiTheme="minorHAnsi" w:cstheme="minorHAnsi"/>
              </w:rPr>
            </w:pPr>
            <w:r>
              <w:rPr>
                <w:rFonts w:asciiTheme="minorHAnsi" w:hAnsiTheme="minorHAnsi" w:cstheme="minorHAnsi"/>
              </w:rPr>
              <w:t>16</w:t>
            </w:r>
          </w:p>
        </w:tc>
        <w:tc>
          <w:tcPr>
            <w:tcW w:w="2268" w:type="dxa"/>
          </w:tcPr>
          <w:p w14:paraId="7FF8FB99" w14:textId="77777777" w:rsidR="00C17069" w:rsidRPr="003C68AF" w:rsidRDefault="00C17069" w:rsidP="00B811E3">
            <w:pPr>
              <w:widowControl/>
              <w:autoSpaceDE w:val="0"/>
              <w:autoSpaceDN w:val="0"/>
              <w:adjustRightInd w:val="0"/>
              <w:ind w:right="0"/>
              <w:rPr>
                <w:rFonts w:asciiTheme="minorHAnsi" w:eastAsiaTheme="minorHAnsi" w:hAnsiTheme="minorHAnsi" w:cstheme="minorHAnsi"/>
                <w:spacing w:val="0"/>
                <w:lang w:val="en-US"/>
              </w:rPr>
            </w:pPr>
            <w:r>
              <w:rPr>
                <w:rFonts w:asciiTheme="minorHAnsi" w:eastAsiaTheme="minorHAnsi" w:hAnsiTheme="minorHAnsi" w:cstheme="minorHAnsi"/>
                <w:spacing w:val="0"/>
                <w:lang w:val="en-US"/>
              </w:rPr>
              <w:t>Lifetime indication (1</w:t>
            </w:r>
            <w:r w:rsidRPr="001A3880">
              <w:rPr>
                <w:rFonts w:asciiTheme="minorHAnsi" w:eastAsiaTheme="minorHAnsi" w:hAnsiTheme="minorHAnsi" w:cstheme="minorHAnsi"/>
                <w:spacing w:val="0"/>
                <w:vertAlign w:val="superscript"/>
                <w:lang w:val="en-US"/>
              </w:rPr>
              <w:t>st</w:t>
            </w:r>
            <w:r>
              <w:rPr>
                <w:rFonts w:asciiTheme="minorHAnsi" w:eastAsiaTheme="minorHAnsi" w:hAnsiTheme="minorHAnsi" w:cstheme="minorHAnsi"/>
                <w:spacing w:val="0"/>
                <w:lang w:val="en-US"/>
              </w:rPr>
              <w:t xml:space="preserve"> bullet point)</w:t>
            </w:r>
          </w:p>
        </w:tc>
        <w:tc>
          <w:tcPr>
            <w:tcW w:w="4962" w:type="dxa"/>
          </w:tcPr>
          <w:p w14:paraId="0DD925A2" w14:textId="77777777" w:rsidR="00C17069" w:rsidRPr="001A3880" w:rsidRDefault="00C17069" w:rsidP="00B811E3">
            <w:pPr>
              <w:ind w:right="0"/>
              <w:rPr>
                <w:rFonts w:asciiTheme="minorHAnsi" w:eastAsia="Calibri" w:hAnsiTheme="minorHAnsi" w:cstheme="minorHAnsi"/>
                <w:lang w:val="en-US"/>
              </w:rPr>
            </w:pPr>
          </w:p>
        </w:tc>
        <w:tc>
          <w:tcPr>
            <w:tcW w:w="5103" w:type="dxa"/>
          </w:tcPr>
          <w:p w14:paraId="5E85646F" w14:textId="77777777" w:rsidR="00C17069" w:rsidRPr="003C68AF" w:rsidRDefault="00C17069" w:rsidP="00B811E3">
            <w:pPr>
              <w:widowControl/>
              <w:autoSpaceDE w:val="0"/>
              <w:autoSpaceDN w:val="0"/>
              <w:adjustRightInd w:val="0"/>
              <w:ind w:right="0"/>
              <w:rPr>
                <w:rFonts w:asciiTheme="minorHAnsi" w:eastAsiaTheme="minorHAnsi" w:hAnsiTheme="minorHAnsi" w:cstheme="minorHAnsi"/>
                <w:spacing w:val="0"/>
                <w:lang w:val="en-US"/>
              </w:rPr>
            </w:pPr>
            <w:r>
              <w:rPr>
                <w:rFonts w:asciiTheme="minorHAnsi" w:eastAsiaTheme="minorHAnsi" w:hAnsiTheme="minorHAnsi" w:cstheme="minorHAnsi"/>
                <w:spacing w:val="0"/>
                <w:lang w:val="en-US"/>
              </w:rPr>
              <w:t>Specify which wattage is taken into account as values differ, especially for LLMF and LSF depending on the wattage</w:t>
            </w:r>
          </w:p>
        </w:tc>
        <w:tc>
          <w:tcPr>
            <w:tcW w:w="708" w:type="dxa"/>
          </w:tcPr>
          <w:p w14:paraId="3E6AD316" w14:textId="77777777" w:rsidR="00C17069" w:rsidRPr="003C68AF" w:rsidRDefault="00C17069" w:rsidP="00B811E3">
            <w:pPr>
              <w:rPr>
                <w:rFonts w:asciiTheme="minorHAnsi" w:hAnsiTheme="minorHAnsi" w:cstheme="minorHAnsi"/>
                <w:lang w:val="en-US"/>
              </w:rPr>
            </w:pPr>
          </w:p>
        </w:tc>
      </w:tr>
    </w:tbl>
    <w:p w14:paraId="7B63724E" w14:textId="4F183A98" w:rsidR="00C17069" w:rsidRDefault="00C17069" w:rsidP="00312B25">
      <w:pPr>
        <w:rPr>
          <w:lang w:val="en-US"/>
        </w:rPr>
      </w:pPr>
      <w:r>
        <w:rPr>
          <w:lang w:val="en-US"/>
        </w:rPr>
        <w:tab/>
      </w:r>
    </w:p>
    <w:p w14:paraId="2F37D330" w14:textId="77777777" w:rsidR="00C17069" w:rsidRPr="005D1C78" w:rsidRDefault="00C17069" w:rsidP="00C17069">
      <w:pPr>
        <w:pStyle w:val="Heading1"/>
        <w:spacing w:before="0"/>
        <w:jc w:val="center"/>
        <w:rPr>
          <w:rFonts w:ascii="Calibri" w:hAnsi="Calibri" w:cs="Calibri"/>
          <w:color w:val="4F81BD" w:themeColor="accent1"/>
          <w:sz w:val="44"/>
        </w:rPr>
      </w:pPr>
    </w:p>
    <w:p w14:paraId="0BAD9CDA" w14:textId="77777777" w:rsidR="00C17069" w:rsidRPr="005D1C78" w:rsidRDefault="00C17069" w:rsidP="00C17069"/>
    <w:tbl>
      <w:tblPr>
        <w:tblStyle w:val="TableGrid"/>
        <w:tblW w:w="5097" w:type="pct"/>
        <w:tblLayout w:type="fixed"/>
        <w:tblLook w:val="04E0" w:firstRow="1" w:lastRow="1" w:firstColumn="1" w:lastColumn="0" w:noHBand="0" w:noVBand="1"/>
      </w:tblPr>
      <w:tblGrid>
        <w:gridCol w:w="848"/>
        <w:gridCol w:w="994"/>
        <w:gridCol w:w="994"/>
        <w:gridCol w:w="2059"/>
        <w:gridCol w:w="3326"/>
        <w:gridCol w:w="5808"/>
        <w:gridCol w:w="1134"/>
      </w:tblGrid>
      <w:tr w:rsidR="00C17069" w:rsidRPr="005D1C78" w14:paraId="1EC35A78" w14:textId="77777777" w:rsidTr="00312B25">
        <w:trPr>
          <w:cantSplit/>
          <w:tblHeader/>
        </w:trPr>
        <w:tc>
          <w:tcPr>
            <w:tcW w:w="848" w:type="dxa"/>
            <w:shd w:val="clear" w:color="auto" w:fill="DBE5F1" w:themeFill="accent1" w:themeFillTint="33"/>
          </w:tcPr>
          <w:p w14:paraId="56E55F33" w14:textId="77777777" w:rsidR="00C17069" w:rsidRPr="002E6D23" w:rsidRDefault="00C17069" w:rsidP="00B811E3">
            <w:pPr>
              <w:ind w:right="0"/>
              <w:rPr>
                <w:b/>
              </w:rPr>
            </w:pPr>
            <w:r w:rsidRPr="002E6D23">
              <w:rPr>
                <w:b/>
                <w:bCs/>
              </w:rPr>
              <w:t>Task        #</w:t>
            </w:r>
          </w:p>
        </w:tc>
        <w:tc>
          <w:tcPr>
            <w:tcW w:w="994" w:type="dxa"/>
            <w:shd w:val="clear" w:color="auto" w:fill="DBE5F1" w:themeFill="accent1" w:themeFillTint="33"/>
          </w:tcPr>
          <w:p w14:paraId="388213E0" w14:textId="77777777" w:rsidR="00C17069" w:rsidRPr="005D1C78" w:rsidRDefault="00C17069" w:rsidP="00B811E3">
            <w:pPr>
              <w:ind w:right="0"/>
              <w:rPr>
                <w:b/>
              </w:rPr>
            </w:pPr>
            <w:r w:rsidRPr="1E29057C">
              <w:rPr>
                <w:b/>
                <w:bCs/>
              </w:rPr>
              <w:t>Section  #</w:t>
            </w:r>
          </w:p>
        </w:tc>
        <w:tc>
          <w:tcPr>
            <w:tcW w:w="994" w:type="dxa"/>
            <w:shd w:val="clear" w:color="auto" w:fill="DBE5F1" w:themeFill="accent1" w:themeFillTint="33"/>
          </w:tcPr>
          <w:p w14:paraId="714144E0" w14:textId="77777777" w:rsidR="00C17069" w:rsidRPr="005D1C78" w:rsidRDefault="00C17069" w:rsidP="00B811E3">
            <w:pPr>
              <w:ind w:right="0"/>
              <w:rPr>
                <w:b/>
              </w:rPr>
            </w:pPr>
            <w:r w:rsidRPr="1E29057C">
              <w:rPr>
                <w:b/>
                <w:bCs/>
              </w:rPr>
              <w:t>Page       #</w:t>
            </w:r>
          </w:p>
        </w:tc>
        <w:tc>
          <w:tcPr>
            <w:tcW w:w="2059" w:type="dxa"/>
            <w:shd w:val="clear" w:color="auto" w:fill="DBE5F1" w:themeFill="accent1" w:themeFillTint="33"/>
          </w:tcPr>
          <w:p w14:paraId="6FFC30AB" w14:textId="77777777" w:rsidR="00C17069" w:rsidRPr="005D1C78" w:rsidRDefault="00C17069" w:rsidP="00B811E3">
            <w:pPr>
              <w:rPr>
                <w:b/>
              </w:rPr>
            </w:pPr>
            <w:r w:rsidRPr="005D1C78">
              <w:rPr>
                <w:b/>
              </w:rPr>
              <w:t>Topic</w:t>
            </w:r>
          </w:p>
        </w:tc>
        <w:tc>
          <w:tcPr>
            <w:tcW w:w="3326" w:type="dxa"/>
            <w:shd w:val="clear" w:color="auto" w:fill="DBE5F1" w:themeFill="accent1" w:themeFillTint="33"/>
          </w:tcPr>
          <w:p w14:paraId="38E41485" w14:textId="77777777" w:rsidR="00C17069" w:rsidRPr="005D1C78" w:rsidRDefault="00C17069" w:rsidP="00B811E3">
            <w:pPr>
              <w:rPr>
                <w:b/>
              </w:rPr>
            </w:pPr>
            <w:r w:rsidRPr="005D1C78">
              <w:rPr>
                <w:b/>
              </w:rPr>
              <w:t>Comment</w:t>
            </w:r>
          </w:p>
        </w:tc>
        <w:tc>
          <w:tcPr>
            <w:tcW w:w="5808" w:type="dxa"/>
            <w:shd w:val="clear" w:color="auto" w:fill="DBE5F1" w:themeFill="accent1" w:themeFillTint="33"/>
          </w:tcPr>
          <w:p w14:paraId="20F40AA9" w14:textId="77777777" w:rsidR="00C17069" w:rsidRPr="005D1C78" w:rsidRDefault="00C17069" w:rsidP="00B811E3">
            <w:pPr>
              <w:rPr>
                <w:b/>
              </w:rPr>
            </w:pPr>
            <w:r w:rsidRPr="005D1C78">
              <w:rPr>
                <w:b/>
              </w:rPr>
              <w:t>Proposed change</w:t>
            </w:r>
          </w:p>
        </w:tc>
        <w:tc>
          <w:tcPr>
            <w:tcW w:w="1134" w:type="dxa"/>
            <w:shd w:val="clear" w:color="auto" w:fill="DBE5F1" w:themeFill="accent1" w:themeFillTint="33"/>
          </w:tcPr>
          <w:p w14:paraId="4D49AECA" w14:textId="77777777" w:rsidR="00C17069" w:rsidRPr="005D1C78" w:rsidRDefault="00C17069" w:rsidP="00B811E3">
            <w:pPr>
              <w:rPr>
                <w:b/>
              </w:rPr>
            </w:pPr>
          </w:p>
        </w:tc>
      </w:tr>
      <w:tr w:rsidR="00C17069" w:rsidRPr="00FD021D" w14:paraId="48062AFE" w14:textId="77777777" w:rsidTr="00312B25">
        <w:tc>
          <w:tcPr>
            <w:tcW w:w="848" w:type="dxa"/>
          </w:tcPr>
          <w:p w14:paraId="47727453" w14:textId="77777777" w:rsidR="00C17069" w:rsidRPr="00CE7FC7" w:rsidRDefault="00C17069" w:rsidP="00B811E3">
            <w:pPr>
              <w:ind w:right="0"/>
            </w:pPr>
            <w:r w:rsidRPr="00CE7FC7">
              <w:t>4</w:t>
            </w:r>
          </w:p>
        </w:tc>
        <w:tc>
          <w:tcPr>
            <w:tcW w:w="994" w:type="dxa"/>
          </w:tcPr>
          <w:p w14:paraId="0CE57FFA" w14:textId="77777777" w:rsidR="00C17069" w:rsidRPr="00CE7FC7" w:rsidRDefault="00C17069" w:rsidP="00B811E3">
            <w:pPr>
              <w:ind w:right="0"/>
            </w:pPr>
            <w:r w:rsidRPr="00CE7FC7">
              <w:t>5.1</w:t>
            </w:r>
          </w:p>
        </w:tc>
        <w:tc>
          <w:tcPr>
            <w:tcW w:w="994" w:type="dxa"/>
          </w:tcPr>
          <w:p w14:paraId="5B6B5BE8" w14:textId="77777777" w:rsidR="00C17069" w:rsidRPr="00CE7FC7" w:rsidRDefault="00C17069" w:rsidP="00B811E3">
            <w:pPr>
              <w:ind w:right="0"/>
            </w:pPr>
            <w:r w:rsidRPr="00CE7FC7">
              <w:t>79</w:t>
            </w:r>
          </w:p>
        </w:tc>
        <w:tc>
          <w:tcPr>
            <w:tcW w:w="2059" w:type="dxa"/>
          </w:tcPr>
          <w:p w14:paraId="40B1B510" w14:textId="77777777" w:rsidR="00C17069" w:rsidRPr="00CE7FC7" w:rsidRDefault="00C17069" w:rsidP="00B811E3">
            <w:pPr>
              <w:ind w:right="0"/>
              <w:rPr>
                <w:rFonts w:eastAsia="Calibri"/>
              </w:rPr>
            </w:pPr>
            <w:r w:rsidRPr="00CE7FC7">
              <w:rPr>
                <w:rFonts w:eastAsia="Calibri"/>
              </w:rPr>
              <w:t>Retrofit lamp</w:t>
            </w:r>
          </w:p>
        </w:tc>
        <w:tc>
          <w:tcPr>
            <w:tcW w:w="3326" w:type="dxa"/>
          </w:tcPr>
          <w:p w14:paraId="7C7C0239" w14:textId="77777777" w:rsidR="00C17069" w:rsidRPr="00CE7FC7" w:rsidRDefault="00C17069" w:rsidP="00B811E3">
            <w:pPr>
              <w:ind w:right="0"/>
              <w:rPr>
                <w:rFonts w:eastAsia="Calibri"/>
              </w:rPr>
            </w:pPr>
            <w:r w:rsidRPr="00CE7FC7">
              <w:rPr>
                <w:rFonts w:eastAsia="Calibri"/>
              </w:rPr>
              <w:t>The section lacks a definition of what is to be considered a retrofit lamp. The use of retrofit lamps in the text suggests that the customer will be satisfied when purchasing this lamp</w:t>
            </w:r>
          </w:p>
        </w:tc>
        <w:tc>
          <w:tcPr>
            <w:tcW w:w="5808" w:type="dxa"/>
          </w:tcPr>
          <w:p w14:paraId="3C6E35A0" w14:textId="77777777" w:rsidR="00C17069" w:rsidRPr="00CE7FC7" w:rsidRDefault="00C17069" w:rsidP="00B811E3">
            <w:pPr>
              <w:ind w:right="0"/>
              <w:rPr>
                <w:rFonts w:eastAsia="Calibri"/>
              </w:rPr>
            </w:pPr>
            <w:r w:rsidRPr="00CE7FC7">
              <w:rPr>
                <w:rFonts w:eastAsia="Calibri"/>
              </w:rPr>
              <w:t xml:space="preserve">A retrofit lamp is considered to be capable of fully replacing an existing lamp in its application, it will give at least the same light flux, the same light </w:t>
            </w:r>
            <w:proofErr w:type="spellStart"/>
            <w:r w:rsidRPr="00CE7FC7">
              <w:rPr>
                <w:rFonts w:eastAsia="Calibri"/>
              </w:rPr>
              <w:t>color</w:t>
            </w:r>
            <w:proofErr w:type="spellEnd"/>
            <w:r w:rsidRPr="00CE7FC7">
              <w:rPr>
                <w:rFonts w:eastAsia="Calibri"/>
              </w:rPr>
              <w:t xml:space="preserve">, and will have at least the same </w:t>
            </w:r>
            <w:proofErr w:type="spellStart"/>
            <w:r w:rsidRPr="00CE7FC7">
              <w:rPr>
                <w:rFonts w:eastAsia="Calibri"/>
              </w:rPr>
              <w:t>color</w:t>
            </w:r>
            <w:proofErr w:type="spellEnd"/>
            <w:r w:rsidRPr="00CE7FC7">
              <w:rPr>
                <w:rFonts w:eastAsia="Calibri"/>
              </w:rPr>
              <w:t xml:space="preserve"> rendering. It will operate on the existing drivers used for the current lamp. The retrofit lamp will fit in most of the existing luminaires and will give the same light pattern in combination with the existing optics present in </w:t>
            </w:r>
            <w:r w:rsidRPr="00CE7FC7">
              <w:rPr>
                <w:rFonts w:eastAsia="Calibri"/>
              </w:rPr>
              <w:lastRenderedPageBreak/>
              <w:t>these luminaires.</w:t>
            </w:r>
          </w:p>
        </w:tc>
        <w:tc>
          <w:tcPr>
            <w:tcW w:w="1134" w:type="dxa"/>
          </w:tcPr>
          <w:p w14:paraId="6B0C0AC5" w14:textId="77777777" w:rsidR="00C17069" w:rsidRPr="00CE7FC7" w:rsidRDefault="00C17069" w:rsidP="00B811E3"/>
        </w:tc>
      </w:tr>
      <w:tr w:rsidR="00C17069" w:rsidRPr="00FD021D" w14:paraId="3F964D0E" w14:textId="77777777" w:rsidTr="00312B25">
        <w:tc>
          <w:tcPr>
            <w:tcW w:w="848" w:type="dxa"/>
          </w:tcPr>
          <w:p w14:paraId="2FAC1CAE" w14:textId="77777777" w:rsidR="00C17069" w:rsidRPr="00CE7FC7" w:rsidRDefault="00C17069" w:rsidP="00B811E3">
            <w:pPr>
              <w:ind w:right="0"/>
            </w:pPr>
            <w:r w:rsidRPr="00CE7FC7">
              <w:lastRenderedPageBreak/>
              <w:t>4</w:t>
            </w:r>
          </w:p>
        </w:tc>
        <w:tc>
          <w:tcPr>
            <w:tcW w:w="994" w:type="dxa"/>
          </w:tcPr>
          <w:p w14:paraId="78D500D8" w14:textId="77777777" w:rsidR="00C17069" w:rsidRPr="00CE7FC7" w:rsidRDefault="00C17069" w:rsidP="00B811E3">
            <w:pPr>
              <w:ind w:right="0"/>
            </w:pPr>
            <w:r w:rsidRPr="00CE7FC7">
              <w:t>Executive summary</w:t>
            </w:r>
          </w:p>
        </w:tc>
        <w:tc>
          <w:tcPr>
            <w:tcW w:w="994" w:type="dxa"/>
          </w:tcPr>
          <w:p w14:paraId="1E8E632B" w14:textId="77777777" w:rsidR="00C17069" w:rsidRPr="00CE7FC7" w:rsidRDefault="00C17069" w:rsidP="00B811E3">
            <w:pPr>
              <w:ind w:right="0"/>
            </w:pPr>
            <w:r w:rsidRPr="00CE7FC7">
              <w:t>17</w:t>
            </w:r>
          </w:p>
        </w:tc>
        <w:tc>
          <w:tcPr>
            <w:tcW w:w="2059" w:type="dxa"/>
          </w:tcPr>
          <w:p w14:paraId="577F3678" w14:textId="77777777" w:rsidR="00C17069" w:rsidRPr="00CE7FC7" w:rsidRDefault="00C17069" w:rsidP="00B811E3">
            <w:pPr>
              <w:ind w:right="0"/>
              <w:rPr>
                <w:rFonts w:eastAsia="Calibri"/>
              </w:rPr>
            </w:pPr>
            <w:r w:rsidRPr="00CE7FC7">
              <w:rPr>
                <w:rFonts w:eastAsia="Calibri"/>
              </w:rPr>
              <w:t>HID Lamps</w:t>
            </w:r>
          </w:p>
        </w:tc>
        <w:tc>
          <w:tcPr>
            <w:tcW w:w="3326" w:type="dxa"/>
          </w:tcPr>
          <w:p w14:paraId="46598F3B" w14:textId="77777777" w:rsidR="00C17069" w:rsidRPr="00CE7FC7" w:rsidRDefault="00C17069" w:rsidP="00B811E3">
            <w:pPr>
              <w:ind w:right="0"/>
            </w:pPr>
            <w:r w:rsidRPr="00CE7FC7">
              <w:t>The paper does not provide enough evidence that “There is a wide variety of LED Retrofit lamps for HID lamps on the market”.</w:t>
            </w:r>
          </w:p>
          <w:p w14:paraId="74D8AB03" w14:textId="77777777" w:rsidR="00C17069" w:rsidRPr="00CE7FC7" w:rsidRDefault="00C17069" w:rsidP="00B811E3">
            <w:pPr>
              <w:ind w:right="0"/>
            </w:pPr>
          </w:p>
          <w:p w14:paraId="37259777" w14:textId="77777777" w:rsidR="00C17069" w:rsidRPr="00CE7FC7" w:rsidRDefault="00C17069" w:rsidP="00B811E3">
            <w:pPr>
              <w:ind w:right="0"/>
            </w:pPr>
            <w:r w:rsidRPr="00CE7FC7">
              <w:t>See comment above.</w:t>
            </w:r>
          </w:p>
        </w:tc>
        <w:tc>
          <w:tcPr>
            <w:tcW w:w="5808" w:type="dxa"/>
          </w:tcPr>
          <w:p w14:paraId="38306FFF" w14:textId="77777777" w:rsidR="00C17069" w:rsidRPr="00CE7FC7" w:rsidRDefault="00C17069" w:rsidP="00B811E3">
            <w:pPr>
              <w:ind w:right="0"/>
            </w:pPr>
            <w:r w:rsidRPr="00CE7FC7">
              <w:t>There are LED lamps on the market offered as HID retrofit lamps.</w:t>
            </w:r>
          </w:p>
        </w:tc>
        <w:tc>
          <w:tcPr>
            <w:tcW w:w="1134" w:type="dxa"/>
          </w:tcPr>
          <w:p w14:paraId="35455338" w14:textId="77777777" w:rsidR="00C17069" w:rsidRPr="00CE7FC7" w:rsidRDefault="00C17069" w:rsidP="00B811E3"/>
        </w:tc>
      </w:tr>
      <w:tr w:rsidR="00C17069" w:rsidRPr="00FD021D" w14:paraId="09F63948" w14:textId="77777777" w:rsidTr="00312B25">
        <w:tc>
          <w:tcPr>
            <w:tcW w:w="848" w:type="dxa"/>
          </w:tcPr>
          <w:p w14:paraId="0416F765" w14:textId="77777777" w:rsidR="00C17069" w:rsidRPr="00CE7FC7" w:rsidRDefault="00C17069" w:rsidP="00B811E3">
            <w:pPr>
              <w:ind w:right="0"/>
            </w:pPr>
            <w:r w:rsidRPr="00CE7FC7">
              <w:t>4</w:t>
            </w:r>
          </w:p>
        </w:tc>
        <w:tc>
          <w:tcPr>
            <w:tcW w:w="994" w:type="dxa"/>
          </w:tcPr>
          <w:p w14:paraId="001D80FD" w14:textId="77777777" w:rsidR="00C17069" w:rsidRPr="00CE7FC7" w:rsidRDefault="00C17069" w:rsidP="00B811E3">
            <w:pPr>
              <w:ind w:right="0"/>
            </w:pPr>
            <w:r w:rsidRPr="00CE7FC7">
              <w:t>2.10.4</w:t>
            </w:r>
          </w:p>
        </w:tc>
        <w:tc>
          <w:tcPr>
            <w:tcW w:w="994" w:type="dxa"/>
          </w:tcPr>
          <w:p w14:paraId="06EA0C3B" w14:textId="77777777" w:rsidR="00C17069" w:rsidRPr="00CE7FC7" w:rsidRDefault="00C17069" w:rsidP="00B811E3">
            <w:pPr>
              <w:ind w:right="0"/>
            </w:pPr>
            <w:r w:rsidRPr="00CE7FC7">
              <w:t>63</w:t>
            </w:r>
          </w:p>
        </w:tc>
        <w:tc>
          <w:tcPr>
            <w:tcW w:w="2059" w:type="dxa"/>
          </w:tcPr>
          <w:p w14:paraId="5BE3EE41" w14:textId="77777777" w:rsidR="00C17069" w:rsidRPr="00CE7FC7" w:rsidRDefault="00C17069" w:rsidP="00B811E3">
            <w:pPr>
              <w:ind w:right="0"/>
              <w:rPr>
                <w:rFonts w:eastAsia="Calibri"/>
              </w:rPr>
            </w:pPr>
            <w:r w:rsidRPr="00CE7FC7">
              <w:rPr>
                <w:rFonts w:eastAsia="Calibri"/>
              </w:rPr>
              <w:t>LED efficacy prediction</w:t>
            </w:r>
          </w:p>
        </w:tc>
        <w:tc>
          <w:tcPr>
            <w:tcW w:w="3326" w:type="dxa"/>
          </w:tcPr>
          <w:p w14:paraId="52380C05" w14:textId="77777777" w:rsidR="00C17069" w:rsidRPr="00CE7FC7" w:rsidRDefault="00C17069" w:rsidP="00B811E3">
            <w:pPr>
              <w:ind w:right="0"/>
            </w:pPr>
            <w:r w:rsidRPr="00CE7FC7">
              <w:t>The current efficacy of LED lamps shows large variation from lamp type to lamp type. Since the attainable efficacy depends of the thermal design problems of the specific lamp it is suggested to include an efficacy prediction per general lamp type: halogen, TL, HID etc.</w:t>
            </w:r>
          </w:p>
        </w:tc>
        <w:tc>
          <w:tcPr>
            <w:tcW w:w="5808" w:type="dxa"/>
          </w:tcPr>
          <w:p w14:paraId="4B31F342" w14:textId="77777777" w:rsidR="00C17069" w:rsidRPr="00CE7FC7" w:rsidRDefault="00C17069" w:rsidP="00B811E3">
            <w:pPr>
              <w:ind w:right="0"/>
            </w:pPr>
          </w:p>
        </w:tc>
        <w:tc>
          <w:tcPr>
            <w:tcW w:w="1134" w:type="dxa"/>
          </w:tcPr>
          <w:p w14:paraId="564E03D7" w14:textId="77777777" w:rsidR="00C17069" w:rsidRPr="00CE7FC7" w:rsidRDefault="00C17069" w:rsidP="00B811E3"/>
        </w:tc>
      </w:tr>
      <w:tr w:rsidR="00C17069" w14:paraId="553EDE44" w14:textId="77777777" w:rsidTr="00312B25">
        <w:tc>
          <w:tcPr>
            <w:tcW w:w="848" w:type="dxa"/>
          </w:tcPr>
          <w:p w14:paraId="46004165" w14:textId="77777777" w:rsidR="00C17069" w:rsidRPr="00CE7FC7" w:rsidRDefault="00C17069" w:rsidP="00B811E3">
            <w:pPr>
              <w:ind w:right="0"/>
            </w:pPr>
            <w:r w:rsidRPr="00CE7FC7">
              <w:t>4</w:t>
            </w:r>
          </w:p>
        </w:tc>
        <w:tc>
          <w:tcPr>
            <w:tcW w:w="994" w:type="dxa"/>
          </w:tcPr>
          <w:p w14:paraId="12D9890D" w14:textId="77777777" w:rsidR="00C17069" w:rsidRPr="00CE7FC7" w:rsidRDefault="00C17069" w:rsidP="00B811E3">
            <w:pPr>
              <w:ind w:right="0"/>
            </w:pPr>
            <w:r w:rsidRPr="00CE7FC7">
              <w:t>5.4.5</w:t>
            </w:r>
          </w:p>
        </w:tc>
        <w:tc>
          <w:tcPr>
            <w:tcW w:w="994" w:type="dxa"/>
          </w:tcPr>
          <w:p w14:paraId="3E6B6488" w14:textId="77777777" w:rsidR="00C17069" w:rsidRPr="00CE7FC7" w:rsidRDefault="00C17069" w:rsidP="00B811E3">
            <w:pPr>
              <w:ind w:right="0"/>
            </w:pPr>
            <w:r w:rsidRPr="00CE7FC7">
              <w:t>90</w:t>
            </w:r>
          </w:p>
        </w:tc>
        <w:tc>
          <w:tcPr>
            <w:tcW w:w="2059" w:type="dxa"/>
          </w:tcPr>
          <w:p w14:paraId="38FC80B6" w14:textId="77777777" w:rsidR="00C17069" w:rsidRPr="00CE7FC7" w:rsidRDefault="00C17069" w:rsidP="00B811E3">
            <w:pPr>
              <w:ind w:right="0"/>
              <w:rPr>
                <w:rFonts w:eastAsia="Calibri"/>
              </w:rPr>
            </w:pPr>
            <w:r w:rsidRPr="00CE7FC7">
              <w:rPr>
                <w:rFonts w:eastAsia="Calibri"/>
              </w:rPr>
              <w:t>Rewiring</w:t>
            </w:r>
          </w:p>
        </w:tc>
        <w:tc>
          <w:tcPr>
            <w:tcW w:w="3326" w:type="dxa"/>
          </w:tcPr>
          <w:p w14:paraId="49E28EA6" w14:textId="77777777" w:rsidR="00C17069" w:rsidRPr="00CE7FC7" w:rsidRDefault="00C17069" w:rsidP="00B811E3">
            <w:pPr>
              <w:ind w:right="0"/>
            </w:pPr>
            <w:r w:rsidRPr="00CE7FC7">
              <w:t xml:space="preserve">As indicated on page 89 there are at least 7 electrical configurations for retrofitting. The rewiring of an existing luminaire requires knowledge of electrical installations. </w:t>
            </w:r>
          </w:p>
        </w:tc>
        <w:tc>
          <w:tcPr>
            <w:tcW w:w="5808" w:type="dxa"/>
          </w:tcPr>
          <w:p w14:paraId="1387498E" w14:textId="77777777" w:rsidR="00C17069" w:rsidRPr="00CE7FC7" w:rsidRDefault="00C17069" w:rsidP="00B811E3">
            <w:pPr>
              <w:ind w:right="0"/>
            </w:pPr>
            <w:r w:rsidRPr="00CE7FC7">
              <w:t>Add in the list of</w:t>
            </w:r>
            <w:r w:rsidRPr="00CE7FC7">
              <w:rPr>
                <w:u w:val="single"/>
              </w:rPr>
              <w:t xml:space="preserve"> Technical limitations when retrofitting LED tubes</w:t>
            </w:r>
            <w:r w:rsidRPr="00CE7FC7">
              <w:t xml:space="preserve"> add to the bullet starting with:</w:t>
            </w:r>
          </w:p>
          <w:p w14:paraId="481D787E" w14:textId="77777777" w:rsidR="00C17069" w:rsidRPr="00CE7FC7" w:rsidRDefault="00C17069" w:rsidP="00B811E3">
            <w:pPr>
              <w:ind w:right="0"/>
            </w:pPr>
          </w:p>
          <w:p w14:paraId="2DA4648C" w14:textId="77777777" w:rsidR="00C17069" w:rsidRPr="00CE7FC7" w:rsidRDefault="00C17069" w:rsidP="00B811E3">
            <w:pPr>
              <w:ind w:right="0"/>
            </w:pPr>
            <w:r w:rsidRPr="00CE7FC7">
              <w:t xml:space="preserve">Rewiring the </w:t>
            </w:r>
            <w:proofErr w:type="spellStart"/>
            <w:r w:rsidRPr="00CE7FC7">
              <w:t>luminiare</w:t>
            </w:r>
            <w:proofErr w:type="spellEnd"/>
            <w:r w:rsidRPr="00CE7FC7">
              <w:t xml:space="preserve"> is needed for electrical configurations that by-pass the existing ballast….</w:t>
            </w:r>
          </w:p>
          <w:p w14:paraId="16B2227B" w14:textId="77777777" w:rsidR="00C17069" w:rsidRPr="00CE7FC7" w:rsidRDefault="00C17069" w:rsidP="00B811E3">
            <w:pPr>
              <w:ind w:right="0"/>
            </w:pPr>
          </w:p>
          <w:p w14:paraId="4AE1976F" w14:textId="77777777" w:rsidR="00C17069" w:rsidRPr="00CE7FC7" w:rsidRDefault="00C17069" w:rsidP="00B811E3">
            <w:pPr>
              <w:ind w:right="0"/>
            </w:pPr>
            <w:r w:rsidRPr="00CE7FC7">
              <w:t>The text: The rewiring requires electrical installation know how and knowledge of the existing LED retrofit lamp types. The rewiring can only be done safely by personnel with the required skills.</w:t>
            </w:r>
          </w:p>
        </w:tc>
        <w:tc>
          <w:tcPr>
            <w:tcW w:w="1134" w:type="dxa"/>
          </w:tcPr>
          <w:p w14:paraId="4B7B537E" w14:textId="77777777" w:rsidR="00C17069" w:rsidRPr="00CE7FC7" w:rsidRDefault="00C17069" w:rsidP="00B811E3"/>
        </w:tc>
      </w:tr>
    </w:tbl>
    <w:p w14:paraId="07EB386A" w14:textId="77777777" w:rsidR="00C17069" w:rsidRPr="005D1C78" w:rsidRDefault="00C17069" w:rsidP="00C17069"/>
    <w:p w14:paraId="65DFF03B" w14:textId="77777777" w:rsidR="00C17069" w:rsidRPr="005D1C78" w:rsidRDefault="00C17069" w:rsidP="00C17069"/>
    <w:p w14:paraId="7571F102" w14:textId="77777777" w:rsidR="00701F8D" w:rsidRPr="00C17069" w:rsidRDefault="00701F8D" w:rsidP="00701F8D"/>
    <w:sectPr w:rsidR="00701F8D" w:rsidRPr="00C17069" w:rsidSect="00EF5772">
      <w:headerReference w:type="default" r:id="rId18"/>
      <w:footerReference w:type="default" r:id="rId19"/>
      <w:pgSz w:w="16860" w:h="11920" w:orient="landscape"/>
      <w:pgMar w:top="1420" w:right="842" w:bottom="280" w:left="1134"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4827" w14:textId="77777777" w:rsidR="00066814" w:rsidRDefault="00066814" w:rsidP="005D1C78">
      <w:r>
        <w:separator/>
      </w:r>
    </w:p>
  </w:endnote>
  <w:endnote w:type="continuationSeparator" w:id="0">
    <w:p w14:paraId="778DB0BA" w14:textId="77777777" w:rsidR="00066814" w:rsidRDefault="00066814" w:rsidP="005D1C78">
      <w:r>
        <w:continuationSeparator/>
      </w:r>
    </w:p>
  </w:endnote>
  <w:endnote w:type="continuationNotice" w:id="1">
    <w:p w14:paraId="5266BB06" w14:textId="77777777" w:rsidR="00066814" w:rsidRDefault="000668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577555"/>
      <w:docPartObj>
        <w:docPartGallery w:val="Page Numbers (Bottom of Page)"/>
        <w:docPartUnique/>
      </w:docPartObj>
    </w:sdtPr>
    <w:sdtContent>
      <w:sdt>
        <w:sdtPr>
          <w:id w:val="860082579"/>
          <w:docPartObj>
            <w:docPartGallery w:val="Page Numbers (Top of Page)"/>
            <w:docPartUnique/>
          </w:docPartObj>
        </w:sdtPr>
        <w:sdtContent>
          <w:p w14:paraId="1FD8963A" w14:textId="77777777" w:rsidR="00312B25" w:rsidRDefault="00312B25" w:rsidP="005D1C78">
            <w:pPr>
              <w:pStyle w:val="Footer"/>
              <w:jc w:val="right"/>
            </w:pPr>
            <w:r>
              <w:fldChar w:fldCharType="begin"/>
            </w:r>
            <w:r>
              <w:instrText xml:space="preserve"> PAGE </w:instrText>
            </w:r>
            <w:r>
              <w:fldChar w:fldCharType="separate"/>
            </w:r>
            <w:r w:rsidR="005D47A4">
              <w:rPr>
                <w:noProof/>
              </w:rPr>
              <w:t>10</w:t>
            </w:r>
            <w:r>
              <w:rPr>
                <w:noProof/>
              </w:rPr>
              <w:fldChar w:fldCharType="end"/>
            </w:r>
            <w:r w:rsidRPr="005D1C78">
              <w:t xml:space="preserve"> / </w:t>
            </w:r>
            <w:r>
              <w:fldChar w:fldCharType="begin"/>
            </w:r>
            <w:r>
              <w:instrText xml:space="preserve"> NUMPAGES  </w:instrText>
            </w:r>
            <w:r>
              <w:fldChar w:fldCharType="separate"/>
            </w:r>
            <w:r w:rsidR="005D47A4">
              <w:rPr>
                <w:noProof/>
              </w:rPr>
              <w:t>19</w:t>
            </w:r>
            <w:r>
              <w:rPr>
                <w:noProof/>
              </w:rPr>
              <w:fldChar w:fldCharType="end"/>
            </w:r>
          </w:p>
        </w:sdtContent>
      </w:sdt>
    </w:sdtContent>
  </w:sdt>
  <w:p w14:paraId="5307EDA2" w14:textId="77777777" w:rsidR="00312B25" w:rsidRDefault="00312B25" w:rsidP="005D1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07528" w14:textId="77777777" w:rsidR="00066814" w:rsidRDefault="00066814" w:rsidP="005D1C78">
      <w:r>
        <w:separator/>
      </w:r>
    </w:p>
  </w:footnote>
  <w:footnote w:type="continuationSeparator" w:id="0">
    <w:p w14:paraId="680B8765" w14:textId="77777777" w:rsidR="00066814" w:rsidRDefault="00066814" w:rsidP="005D1C78">
      <w:r>
        <w:continuationSeparator/>
      </w:r>
    </w:p>
  </w:footnote>
  <w:footnote w:type="continuationNotice" w:id="1">
    <w:p w14:paraId="08CD79AF" w14:textId="77777777" w:rsidR="00066814" w:rsidRDefault="00066814">
      <w:pPr>
        <w:spacing w:line="240" w:lineRule="auto"/>
      </w:pPr>
    </w:p>
  </w:footnote>
  <w:footnote w:id="2">
    <w:p w14:paraId="0C225455" w14:textId="77777777" w:rsidR="00B811E3" w:rsidRPr="003C68AF" w:rsidRDefault="00B811E3" w:rsidP="00C17069">
      <w:pPr>
        <w:pStyle w:val="FootnoteText"/>
        <w:rPr>
          <w:lang w:val="pl-PL"/>
        </w:rPr>
      </w:pPr>
      <w:r>
        <w:rPr>
          <w:rStyle w:val="FootnoteReference"/>
        </w:rPr>
        <w:footnoteRef/>
      </w:r>
      <w:r>
        <w:t xml:space="preserve"> E.g. </w:t>
      </w:r>
      <w:r w:rsidRPr="003C68AF">
        <w:t>http://www.lighting.philips.com/main/prof/lamps/fluorescent-lamps-and-starters/tl/tl-m-rapid-start-super-80</w:t>
      </w:r>
    </w:p>
  </w:footnote>
  <w:footnote w:id="3">
    <w:p w14:paraId="1C09F661" w14:textId="77777777" w:rsidR="00B811E3" w:rsidRPr="003C68AF" w:rsidRDefault="00B811E3" w:rsidP="00C17069">
      <w:pPr>
        <w:pStyle w:val="FootnoteText"/>
        <w:rPr>
          <w:lang w:val="en-US"/>
        </w:rPr>
      </w:pPr>
      <w:r>
        <w:rPr>
          <w:rStyle w:val="FootnoteReference"/>
        </w:rPr>
        <w:footnoteRef/>
      </w:r>
      <w:r>
        <w:t xml:space="preserve"> Ref: </w:t>
      </w:r>
      <w:r w:rsidRPr="003C68AF">
        <w:rPr>
          <w:lang w:val="en-US"/>
        </w:rPr>
        <w:t>Lamps covered by the requirements of Directives 94/9/EC of the European Parliament and of the Council (</w:t>
      </w:r>
      <w:r w:rsidRPr="003C68AF">
        <w:rPr>
          <w:i/>
          <w:iCs/>
          <w:u w:val="single"/>
          <w:lang w:val="en-US"/>
        </w:rPr>
        <w:t>concerning equipment and protective systems intended for use in potentially explosive atmospheres</w:t>
      </w:r>
      <w:r w:rsidRPr="003C68AF">
        <w:rPr>
          <w:lang w:val="en-US"/>
        </w:rPr>
        <w:t>) or Directive 1999/92/EC</w:t>
      </w:r>
      <w:r w:rsidRPr="003C68AF">
        <w:rPr>
          <w:b/>
          <w:bCs/>
          <w:lang w:val="en-US"/>
        </w:rPr>
        <w:t xml:space="preserve"> </w:t>
      </w:r>
      <w:r w:rsidRPr="003C68AF">
        <w:rPr>
          <w:lang w:val="en-US"/>
        </w:rPr>
        <w:t>of the European Parliament and of the Council (</w:t>
      </w:r>
      <w:r w:rsidRPr="003C68AF">
        <w:rPr>
          <w:i/>
          <w:iCs/>
          <w:u w:val="single"/>
          <w:lang w:val="en-US"/>
        </w:rPr>
        <w:t>on minimum requirements for improving the safety and health protection of workers potentially at risk from explosive atmospheres</w:t>
      </w:r>
      <w:r w:rsidRPr="003C68AF">
        <w:rPr>
          <w:lang w:val="en-US"/>
        </w:rPr>
        <w:t xml:space="preserve">); </w:t>
      </w:r>
      <w:r w:rsidRPr="003C68AF">
        <w:rPr>
          <w:i/>
          <w:iCs/>
          <w:lang w:val="en-US"/>
        </w:rPr>
        <w:t>[point 2(b)]</w:t>
      </w:r>
    </w:p>
  </w:footnote>
  <w:footnote w:id="4">
    <w:p w14:paraId="453DB53D" w14:textId="77777777" w:rsidR="00B811E3" w:rsidRPr="003C68AF" w:rsidRDefault="00B811E3" w:rsidP="00C17069">
      <w:pPr>
        <w:pStyle w:val="FootnoteText"/>
      </w:pPr>
      <w:r>
        <w:rPr>
          <w:rStyle w:val="FootnoteReference"/>
        </w:rPr>
        <w:footnoteRef/>
      </w:r>
      <w:r>
        <w:t xml:space="preserve"> E.g. </w:t>
      </w:r>
      <w:hyperlink r:id="rId1" w:history="1">
        <w:r w:rsidRPr="00BC5A5D">
          <w:rPr>
            <w:rStyle w:val="Hyperlink"/>
          </w:rPr>
          <w:t>http://www.lighting.philips.com/main/prof/lamps/fluorescent-lamps-and-starters/tl/tl-s</w:t>
        </w:r>
      </w:hyperlink>
      <w:r>
        <w:t xml:space="preserve">, </w:t>
      </w:r>
      <w:r w:rsidRPr="003C68AF">
        <w:t>http://www.lighting.philips.com/main/prof/lamps/fluorescent-lamps-and-starters/tl/tl-x-xl</w:t>
      </w:r>
    </w:p>
  </w:footnote>
  <w:footnote w:id="5">
    <w:p w14:paraId="6B5EC25E" w14:textId="77777777" w:rsidR="00B811E3" w:rsidRPr="003C68AF" w:rsidRDefault="00B811E3" w:rsidP="00C17069">
      <w:pPr>
        <w:pStyle w:val="FootnoteText"/>
      </w:pPr>
      <w:r>
        <w:rPr>
          <w:rStyle w:val="FootnoteReference"/>
        </w:rPr>
        <w:footnoteRef/>
      </w:r>
      <w:r>
        <w:t xml:space="preserve"> </w:t>
      </w:r>
      <w:r w:rsidRPr="003C68AF">
        <w:t>http://www.lighting.philips.com/main/prof/lamps/fluorescent-lamps-and-starters/tl-d/master-tl-d-xtra-polar</w:t>
      </w:r>
    </w:p>
  </w:footnote>
  <w:footnote w:id="6">
    <w:p w14:paraId="2D538EDB" w14:textId="77777777" w:rsidR="00B811E3" w:rsidRPr="003C68AF" w:rsidRDefault="00B811E3" w:rsidP="00C17069">
      <w:pPr>
        <w:pStyle w:val="FootnoteText"/>
      </w:pPr>
      <w:r>
        <w:rPr>
          <w:rStyle w:val="FootnoteReference"/>
        </w:rPr>
        <w:footnoteRef/>
      </w:r>
      <w:r>
        <w:t xml:space="preserve"> </w:t>
      </w:r>
      <w:r w:rsidRPr="001A3880">
        <w:t>http://download.p4c.philips.com/l4bt/3/322835/master_tl-d_hf_super_80_322835_ffs_aen.pdf</w:t>
      </w:r>
    </w:p>
  </w:footnote>
  <w:footnote w:id="7">
    <w:p w14:paraId="799C2107" w14:textId="77777777" w:rsidR="00B811E3" w:rsidRPr="001A3880" w:rsidRDefault="00B811E3" w:rsidP="00C17069">
      <w:pPr>
        <w:pStyle w:val="FootnoteText"/>
      </w:pPr>
      <w:r>
        <w:rPr>
          <w:rStyle w:val="FootnoteReference"/>
        </w:rPr>
        <w:footnoteRef/>
      </w:r>
      <w:r>
        <w:t xml:space="preserve"> </w:t>
      </w:r>
      <w:r w:rsidRPr="001A3880">
        <w:t>http://download.p4c.philips.com/l4b/9/927907384040_eu/927907384040_eu_pss_nldnl.pdf</w:t>
      </w:r>
    </w:p>
  </w:footnote>
  <w:footnote w:id="8">
    <w:p w14:paraId="75ABEF98" w14:textId="77777777" w:rsidR="00B811E3" w:rsidRPr="003C68AF" w:rsidRDefault="00B811E3" w:rsidP="00C17069">
      <w:pPr>
        <w:pStyle w:val="FootnoteText"/>
      </w:pPr>
      <w:r>
        <w:rPr>
          <w:rStyle w:val="FootnoteReference"/>
        </w:rPr>
        <w:footnoteRef/>
      </w:r>
      <w:r>
        <w:t xml:space="preserve"> </w:t>
      </w:r>
      <w:r w:rsidRPr="003C68AF">
        <w:t>http://www.lighting.philips.com/main/prof/lamps/fluorescent-lamps-and-starters/tl-d/master-tl-d-xtreme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E603" w14:textId="4AD3C165" w:rsidR="00312B25" w:rsidRPr="005D1C78" w:rsidRDefault="00312B25" w:rsidP="00EF5772">
    <w:pPr>
      <w:tabs>
        <w:tab w:val="right" w:pos="15168"/>
      </w:tabs>
    </w:pPr>
    <w:r w:rsidRPr="00DB6682">
      <w:rPr>
        <w:rFonts w:ascii="Cambria" w:eastAsia="Times New Roman" w:hAnsi="Cambria" w:cs="Times New Roman"/>
        <w:b/>
        <w:noProof/>
        <w:color w:val="000000"/>
        <w:spacing w:val="0"/>
        <w:sz w:val="27"/>
        <w:szCs w:val="27"/>
        <w:lang w:eastAsia="en-GB"/>
      </w:rPr>
      <w:drawing>
        <wp:anchor distT="0" distB="0" distL="114300" distR="114300" simplePos="0" relativeHeight="251659776" behindDoc="0" locked="0" layoutInCell="1" allowOverlap="1" wp14:anchorId="390C3C96" wp14:editId="3B27A692">
          <wp:simplePos x="0" y="0"/>
          <wp:positionH relativeFrom="margin">
            <wp:align>right</wp:align>
          </wp:positionH>
          <wp:positionV relativeFrom="paragraph">
            <wp:posOffset>14326</wp:posOffset>
          </wp:positionV>
          <wp:extent cx="1786255" cy="107188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logo.jpg"/>
                  <pic:cNvPicPr/>
                </pic:nvPicPr>
                <pic:blipFill>
                  <a:blip r:embed="rId1">
                    <a:extLst>
                      <a:ext uri="{28A0092B-C50C-407E-A947-70E740481C1C}">
                        <a14:useLocalDpi xmlns:a14="http://schemas.microsoft.com/office/drawing/2010/main" val="0"/>
                      </a:ext>
                    </a:extLst>
                  </a:blip>
                  <a:stretch>
                    <a:fillRect/>
                  </a:stretch>
                </pic:blipFill>
                <pic:spPr>
                  <a:xfrm>
                    <a:off x="0" y="0"/>
                    <a:ext cx="1786255" cy="1071880"/>
                  </a:xfrm>
                  <a:prstGeom prst="rect">
                    <a:avLst/>
                  </a:prstGeom>
                </pic:spPr>
              </pic:pic>
            </a:graphicData>
          </a:graphic>
        </wp:anchor>
      </w:drawing>
    </w:r>
    <w:r w:rsidRPr="005D1C78">
      <w:rPr>
        <w:spacing w:val="-1"/>
      </w:rPr>
      <w:t>S</w:t>
    </w:r>
    <w:r w:rsidRPr="005D1C78">
      <w:t>ta</w:t>
    </w:r>
    <w:r w:rsidRPr="005D1C78">
      <w:rPr>
        <w:spacing w:val="3"/>
      </w:rPr>
      <w:t>k</w:t>
    </w:r>
    <w:r w:rsidRPr="005D1C78">
      <w:t>e</w:t>
    </w:r>
    <w:r w:rsidRPr="005D1C78">
      <w:rPr>
        <w:spacing w:val="-1"/>
      </w:rPr>
      <w:t>h</w:t>
    </w:r>
    <w:r w:rsidRPr="005D1C78">
      <w:t>o</w:t>
    </w:r>
    <w:r w:rsidRPr="005D1C78">
      <w:rPr>
        <w:spacing w:val="1"/>
      </w:rPr>
      <w:t>l</w:t>
    </w:r>
    <w:r w:rsidRPr="005D1C78">
      <w:t>d</w:t>
    </w:r>
    <w:r w:rsidRPr="005D1C78">
      <w:rPr>
        <w:spacing w:val="-1"/>
      </w:rPr>
      <w:t>e</w:t>
    </w:r>
    <w:r w:rsidRPr="005D1C78">
      <w:t>r</w:t>
    </w:r>
    <w:r w:rsidRPr="005D1C78">
      <w:rPr>
        <w:spacing w:val="-11"/>
      </w:rPr>
      <w:t xml:space="preserve"> </w:t>
    </w:r>
    <w:r w:rsidRPr="005D1C78">
      <w:rPr>
        <w:spacing w:val="1"/>
      </w:rPr>
      <w:t>c</w:t>
    </w:r>
    <w:r w:rsidRPr="005D1C78">
      <w:t>o</w:t>
    </w:r>
    <w:r w:rsidRPr="005D1C78">
      <w:rPr>
        <w:spacing w:val="2"/>
      </w:rPr>
      <w:t>m</w:t>
    </w:r>
    <w:r w:rsidRPr="005D1C78">
      <w:rPr>
        <w:spacing w:val="4"/>
      </w:rPr>
      <w:t>m</w:t>
    </w:r>
    <w:r w:rsidRPr="005D1C78">
      <w:t>e</w:t>
    </w:r>
    <w:r w:rsidRPr="005D1C78">
      <w:rPr>
        <w:spacing w:val="-1"/>
      </w:rPr>
      <w:t>n</w:t>
    </w:r>
    <w:r w:rsidRPr="005D1C78">
      <w:t>ts</w:t>
    </w:r>
    <w:r w:rsidRPr="005D1C78">
      <w:rPr>
        <w:spacing w:val="-6"/>
      </w:rPr>
      <w:t xml:space="preserve"> </w:t>
    </w:r>
    <w:r w:rsidRPr="005D1C78">
      <w:rPr>
        <w:spacing w:val="2"/>
      </w:rPr>
      <w:t>f</w:t>
    </w:r>
    <w:r w:rsidRPr="005D1C78">
      <w:t>orm</w:t>
    </w:r>
    <w:r>
      <w:tab/>
      <w:t xml:space="preserve">  </w:t>
    </w:r>
    <w:r>
      <w:rPr>
        <w:noProof/>
        <w:lang w:eastAsia="en-GB"/>
      </w:rPr>
      <mc:AlternateContent>
        <mc:Choice Requires="wps">
          <w:drawing>
            <wp:anchor distT="0" distB="0" distL="114300" distR="114300" simplePos="0" relativeHeight="251657728" behindDoc="1" locked="0" layoutInCell="1" allowOverlap="1" wp14:anchorId="362FC6E1" wp14:editId="39F13185">
              <wp:simplePos x="0" y="0"/>
              <wp:positionH relativeFrom="page">
                <wp:posOffset>882015</wp:posOffset>
              </wp:positionH>
              <wp:positionV relativeFrom="page">
                <wp:posOffset>446405</wp:posOffset>
              </wp:positionV>
              <wp:extent cx="2413000" cy="151765"/>
              <wp:effectExtent l="0" t="0" r="635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57D0C" w14:textId="77777777" w:rsidR="00312B25" w:rsidRDefault="00312B25" w:rsidP="005D1C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FC6E1" id="_x0000_t202" coordsize="21600,21600" o:spt="202" path="m,l,21600r21600,l21600,xe">
              <v:stroke joinstyle="miter"/>
              <v:path gradientshapeok="t" o:connecttype="rect"/>
            </v:shapetype>
            <v:shape id="Text Box 1" o:spid="_x0000_s1026" type="#_x0000_t202" style="position:absolute;margin-left:69.45pt;margin-top:35.15pt;width:190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" filled="f" stroked="f">
              <v:textbox inset="0,0,0,0">
                <w:txbxContent>
                  <w:p w14:paraId="51857D0C" w14:textId="77777777" w:rsidR="00312B25" w:rsidRDefault="00312B25" w:rsidP="005D1C78"/>
                </w:txbxContent>
              </v:textbox>
              <w10:wrap anchorx="page" anchory="page"/>
            </v:shape>
          </w:pict>
        </mc:Fallback>
      </mc:AlternateContent>
    </w:r>
    <w:r>
      <w:t xml:space="preserve">   </w:t>
    </w:r>
    <w:r>
      <w:rPr>
        <w:noProof/>
        <w:lang w:val="nl-BE" w:eastAsia="nl-B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BDF"/>
    <w:multiLevelType w:val="hybridMultilevel"/>
    <w:tmpl w:val="6D188F90"/>
    <w:lvl w:ilvl="0" w:tplc="5616F8E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68489"/>
    <w:multiLevelType w:val="singleLevel"/>
    <w:tmpl w:val="6EBA6A95"/>
    <w:lvl w:ilvl="0">
      <w:numFmt w:val="bullet"/>
      <w:lvlText w:val="·"/>
      <w:lvlJc w:val="left"/>
      <w:pPr>
        <w:tabs>
          <w:tab w:val="num" w:pos="792"/>
        </w:tabs>
        <w:ind w:left="360" w:firstLine="0"/>
      </w:pPr>
      <w:rPr>
        <w:rFonts w:ascii="Symbol" w:hAnsi="Symbol" w:cs="Symbol"/>
        <w:b/>
        <w:bCs/>
        <w:spacing w:val="-2"/>
        <w:sz w:val="20"/>
        <w:szCs w:val="20"/>
      </w:rPr>
    </w:lvl>
  </w:abstractNum>
  <w:abstractNum w:abstractNumId="2" w15:restartNumberingAfterBreak="0">
    <w:nsid w:val="0BAE357C"/>
    <w:multiLevelType w:val="hybridMultilevel"/>
    <w:tmpl w:val="3A56607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3" w15:restartNumberingAfterBreak="0">
    <w:nsid w:val="145078A0"/>
    <w:multiLevelType w:val="hybridMultilevel"/>
    <w:tmpl w:val="E586E0D4"/>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4" w15:restartNumberingAfterBreak="0">
    <w:nsid w:val="195B6280"/>
    <w:multiLevelType w:val="hybridMultilevel"/>
    <w:tmpl w:val="356A734A"/>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5" w15:restartNumberingAfterBreak="0">
    <w:nsid w:val="21D7689B"/>
    <w:multiLevelType w:val="hybridMultilevel"/>
    <w:tmpl w:val="B9DCDF88"/>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6" w15:restartNumberingAfterBreak="0">
    <w:nsid w:val="29090840"/>
    <w:multiLevelType w:val="hybridMultilevel"/>
    <w:tmpl w:val="44D62358"/>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7" w15:restartNumberingAfterBreak="0">
    <w:nsid w:val="2A3F79A6"/>
    <w:multiLevelType w:val="hybridMultilevel"/>
    <w:tmpl w:val="5F1075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B337571"/>
    <w:multiLevelType w:val="hybridMultilevel"/>
    <w:tmpl w:val="85826A88"/>
    <w:lvl w:ilvl="0" w:tplc="70D87080">
      <w:start w:val="1"/>
      <w:numFmt w:val="bullet"/>
      <w:lvlText w:val="•"/>
      <w:lvlJc w:val="left"/>
      <w:pPr>
        <w:tabs>
          <w:tab w:val="num" w:pos="360"/>
        </w:tabs>
        <w:ind w:left="360" w:hanging="360"/>
      </w:pPr>
      <w:rPr>
        <w:rFonts w:ascii="Arial" w:hAnsi="Arial" w:hint="default"/>
      </w:rPr>
    </w:lvl>
    <w:lvl w:ilvl="1" w:tplc="427A9024" w:tentative="1">
      <w:start w:val="1"/>
      <w:numFmt w:val="bullet"/>
      <w:lvlText w:val="•"/>
      <w:lvlJc w:val="left"/>
      <w:pPr>
        <w:tabs>
          <w:tab w:val="num" w:pos="1080"/>
        </w:tabs>
        <w:ind w:left="1080" w:hanging="360"/>
      </w:pPr>
      <w:rPr>
        <w:rFonts w:ascii="Arial" w:hAnsi="Arial" w:hint="default"/>
      </w:rPr>
    </w:lvl>
    <w:lvl w:ilvl="2" w:tplc="1DCA5910" w:tentative="1">
      <w:start w:val="1"/>
      <w:numFmt w:val="bullet"/>
      <w:lvlText w:val="•"/>
      <w:lvlJc w:val="left"/>
      <w:pPr>
        <w:tabs>
          <w:tab w:val="num" w:pos="1800"/>
        </w:tabs>
        <w:ind w:left="1800" w:hanging="360"/>
      </w:pPr>
      <w:rPr>
        <w:rFonts w:ascii="Arial" w:hAnsi="Arial" w:hint="default"/>
      </w:rPr>
    </w:lvl>
    <w:lvl w:ilvl="3" w:tplc="445848EC" w:tentative="1">
      <w:start w:val="1"/>
      <w:numFmt w:val="bullet"/>
      <w:lvlText w:val="•"/>
      <w:lvlJc w:val="left"/>
      <w:pPr>
        <w:tabs>
          <w:tab w:val="num" w:pos="2520"/>
        </w:tabs>
        <w:ind w:left="2520" w:hanging="360"/>
      </w:pPr>
      <w:rPr>
        <w:rFonts w:ascii="Arial" w:hAnsi="Arial" w:hint="default"/>
      </w:rPr>
    </w:lvl>
    <w:lvl w:ilvl="4" w:tplc="F7A8A252" w:tentative="1">
      <w:start w:val="1"/>
      <w:numFmt w:val="bullet"/>
      <w:lvlText w:val="•"/>
      <w:lvlJc w:val="left"/>
      <w:pPr>
        <w:tabs>
          <w:tab w:val="num" w:pos="3240"/>
        </w:tabs>
        <w:ind w:left="3240" w:hanging="360"/>
      </w:pPr>
      <w:rPr>
        <w:rFonts w:ascii="Arial" w:hAnsi="Arial" w:hint="default"/>
      </w:rPr>
    </w:lvl>
    <w:lvl w:ilvl="5" w:tplc="D22EB69E" w:tentative="1">
      <w:start w:val="1"/>
      <w:numFmt w:val="bullet"/>
      <w:lvlText w:val="•"/>
      <w:lvlJc w:val="left"/>
      <w:pPr>
        <w:tabs>
          <w:tab w:val="num" w:pos="3960"/>
        </w:tabs>
        <w:ind w:left="3960" w:hanging="360"/>
      </w:pPr>
      <w:rPr>
        <w:rFonts w:ascii="Arial" w:hAnsi="Arial" w:hint="default"/>
      </w:rPr>
    </w:lvl>
    <w:lvl w:ilvl="6" w:tplc="57A01088" w:tentative="1">
      <w:start w:val="1"/>
      <w:numFmt w:val="bullet"/>
      <w:lvlText w:val="•"/>
      <w:lvlJc w:val="left"/>
      <w:pPr>
        <w:tabs>
          <w:tab w:val="num" w:pos="4680"/>
        </w:tabs>
        <w:ind w:left="4680" w:hanging="360"/>
      </w:pPr>
      <w:rPr>
        <w:rFonts w:ascii="Arial" w:hAnsi="Arial" w:hint="default"/>
      </w:rPr>
    </w:lvl>
    <w:lvl w:ilvl="7" w:tplc="AEF475A8" w:tentative="1">
      <w:start w:val="1"/>
      <w:numFmt w:val="bullet"/>
      <w:lvlText w:val="•"/>
      <w:lvlJc w:val="left"/>
      <w:pPr>
        <w:tabs>
          <w:tab w:val="num" w:pos="5400"/>
        </w:tabs>
        <w:ind w:left="5400" w:hanging="360"/>
      </w:pPr>
      <w:rPr>
        <w:rFonts w:ascii="Arial" w:hAnsi="Arial" w:hint="default"/>
      </w:rPr>
    </w:lvl>
    <w:lvl w:ilvl="8" w:tplc="1732513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CD46F77"/>
    <w:multiLevelType w:val="hybridMultilevel"/>
    <w:tmpl w:val="CAD4C9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7E20FF"/>
    <w:multiLevelType w:val="hybridMultilevel"/>
    <w:tmpl w:val="242049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054403E"/>
    <w:multiLevelType w:val="hybridMultilevel"/>
    <w:tmpl w:val="3A56607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12" w15:restartNumberingAfterBreak="0">
    <w:nsid w:val="345F50E8"/>
    <w:multiLevelType w:val="hybridMultilevel"/>
    <w:tmpl w:val="46EAD608"/>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13" w15:restartNumberingAfterBreak="0">
    <w:nsid w:val="3C886969"/>
    <w:multiLevelType w:val="hybridMultilevel"/>
    <w:tmpl w:val="80D604FC"/>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14" w15:restartNumberingAfterBreak="0">
    <w:nsid w:val="446F2481"/>
    <w:multiLevelType w:val="hybridMultilevel"/>
    <w:tmpl w:val="4EFC72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A6C51C7"/>
    <w:multiLevelType w:val="hybridMultilevel"/>
    <w:tmpl w:val="FA5403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5F2626C"/>
    <w:multiLevelType w:val="hybridMultilevel"/>
    <w:tmpl w:val="F46ECC62"/>
    <w:lvl w:ilvl="0" w:tplc="04AEDAE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45DB0"/>
    <w:multiLevelType w:val="hybridMultilevel"/>
    <w:tmpl w:val="EF202FF2"/>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18" w15:restartNumberingAfterBreak="0">
    <w:nsid w:val="5FB74B6A"/>
    <w:multiLevelType w:val="hybridMultilevel"/>
    <w:tmpl w:val="AE768128"/>
    <w:lvl w:ilvl="0" w:tplc="2334ED6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07205"/>
    <w:multiLevelType w:val="hybridMultilevel"/>
    <w:tmpl w:val="DD88246C"/>
    <w:lvl w:ilvl="0" w:tplc="9AA66B18">
      <w:start w:val="1"/>
      <w:numFmt w:val="bullet"/>
      <w:lvlText w:val=""/>
      <w:lvlJc w:val="left"/>
      <w:pPr>
        <w:ind w:left="720" w:hanging="360"/>
      </w:pPr>
      <w:rPr>
        <w:rFonts w:ascii="Symbol" w:hAnsi="Symbol" w:hint="default"/>
      </w:rPr>
    </w:lvl>
    <w:lvl w:ilvl="1" w:tplc="E7425F0E">
      <w:start w:val="1"/>
      <w:numFmt w:val="bullet"/>
      <w:lvlText w:val="o"/>
      <w:lvlJc w:val="left"/>
      <w:pPr>
        <w:ind w:left="1440" w:hanging="360"/>
      </w:pPr>
      <w:rPr>
        <w:rFonts w:ascii="Courier New" w:hAnsi="Courier New" w:hint="default"/>
      </w:rPr>
    </w:lvl>
    <w:lvl w:ilvl="2" w:tplc="1130AA36">
      <w:start w:val="1"/>
      <w:numFmt w:val="bullet"/>
      <w:lvlText w:val=""/>
      <w:lvlJc w:val="left"/>
      <w:pPr>
        <w:ind w:left="2160" w:hanging="360"/>
      </w:pPr>
      <w:rPr>
        <w:rFonts w:ascii="Wingdings" w:hAnsi="Wingdings" w:hint="default"/>
      </w:rPr>
    </w:lvl>
    <w:lvl w:ilvl="3" w:tplc="6BB4489C">
      <w:start w:val="1"/>
      <w:numFmt w:val="bullet"/>
      <w:lvlText w:val=""/>
      <w:lvlJc w:val="left"/>
      <w:pPr>
        <w:ind w:left="2880" w:hanging="360"/>
      </w:pPr>
      <w:rPr>
        <w:rFonts w:ascii="Symbol" w:hAnsi="Symbol" w:hint="default"/>
      </w:rPr>
    </w:lvl>
    <w:lvl w:ilvl="4" w:tplc="F370C25E">
      <w:start w:val="1"/>
      <w:numFmt w:val="bullet"/>
      <w:lvlText w:val="o"/>
      <w:lvlJc w:val="left"/>
      <w:pPr>
        <w:ind w:left="3600" w:hanging="360"/>
      </w:pPr>
      <w:rPr>
        <w:rFonts w:ascii="Courier New" w:hAnsi="Courier New" w:hint="default"/>
      </w:rPr>
    </w:lvl>
    <w:lvl w:ilvl="5" w:tplc="0972DDA6">
      <w:start w:val="1"/>
      <w:numFmt w:val="bullet"/>
      <w:lvlText w:val=""/>
      <w:lvlJc w:val="left"/>
      <w:pPr>
        <w:ind w:left="4320" w:hanging="360"/>
      </w:pPr>
      <w:rPr>
        <w:rFonts w:ascii="Wingdings" w:hAnsi="Wingdings" w:hint="default"/>
      </w:rPr>
    </w:lvl>
    <w:lvl w:ilvl="6" w:tplc="B32C299A">
      <w:start w:val="1"/>
      <w:numFmt w:val="bullet"/>
      <w:lvlText w:val=""/>
      <w:lvlJc w:val="left"/>
      <w:pPr>
        <w:ind w:left="5040" w:hanging="360"/>
      </w:pPr>
      <w:rPr>
        <w:rFonts w:ascii="Symbol" w:hAnsi="Symbol" w:hint="default"/>
      </w:rPr>
    </w:lvl>
    <w:lvl w:ilvl="7" w:tplc="6F7EBEEE">
      <w:start w:val="1"/>
      <w:numFmt w:val="bullet"/>
      <w:lvlText w:val="o"/>
      <w:lvlJc w:val="left"/>
      <w:pPr>
        <w:ind w:left="5760" w:hanging="360"/>
      </w:pPr>
      <w:rPr>
        <w:rFonts w:ascii="Courier New" w:hAnsi="Courier New" w:hint="default"/>
      </w:rPr>
    </w:lvl>
    <w:lvl w:ilvl="8" w:tplc="4F04BE5A">
      <w:start w:val="1"/>
      <w:numFmt w:val="bullet"/>
      <w:lvlText w:val=""/>
      <w:lvlJc w:val="left"/>
      <w:pPr>
        <w:ind w:left="6480" w:hanging="360"/>
      </w:pPr>
      <w:rPr>
        <w:rFonts w:ascii="Wingdings" w:hAnsi="Wingdings" w:hint="default"/>
      </w:rPr>
    </w:lvl>
  </w:abstractNum>
  <w:abstractNum w:abstractNumId="20" w15:restartNumberingAfterBreak="0">
    <w:nsid w:val="61F37A1F"/>
    <w:multiLevelType w:val="hybridMultilevel"/>
    <w:tmpl w:val="99586254"/>
    <w:lvl w:ilvl="0" w:tplc="C9F43700">
      <w:start w:val="1"/>
      <w:numFmt w:val="bullet"/>
      <w:lvlText w:val="•"/>
      <w:lvlJc w:val="left"/>
      <w:pPr>
        <w:tabs>
          <w:tab w:val="num" w:pos="720"/>
        </w:tabs>
        <w:ind w:left="720" w:hanging="360"/>
      </w:pPr>
      <w:rPr>
        <w:rFonts w:ascii="Arial" w:hAnsi="Arial" w:hint="default"/>
      </w:rPr>
    </w:lvl>
    <w:lvl w:ilvl="1" w:tplc="47B20720">
      <w:start w:val="61"/>
      <w:numFmt w:val="bullet"/>
      <w:lvlText w:val="–"/>
      <w:lvlJc w:val="left"/>
      <w:pPr>
        <w:tabs>
          <w:tab w:val="num" w:pos="1440"/>
        </w:tabs>
        <w:ind w:left="1440" w:hanging="360"/>
      </w:pPr>
      <w:rPr>
        <w:rFonts w:ascii="Arial" w:hAnsi="Arial" w:hint="default"/>
      </w:rPr>
    </w:lvl>
    <w:lvl w:ilvl="2" w:tplc="D1B472EE">
      <w:start w:val="61"/>
      <w:numFmt w:val="bullet"/>
      <w:lvlText w:val="•"/>
      <w:lvlJc w:val="left"/>
      <w:pPr>
        <w:tabs>
          <w:tab w:val="num" w:pos="2160"/>
        </w:tabs>
        <w:ind w:left="2160" w:hanging="360"/>
      </w:pPr>
      <w:rPr>
        <w:rFonts w:ascii="Arial" w:hAnsi="Arial" w:hint="default"/>
      </w:rPr>
    </w:lvl>
    <w:lvl w:ilvl="3" w:tplc="6F70A7CA">
      <w:start w:val="61"/>
      <w:numFmt w:val="bullet"/>
      <w:lvlText w:val="–"/>
      <w:lvlJc w:val="left"/>
      <w:pPr>
        <w:tabs>
          <w:tab w:val="num" w:pos="2880"/>
        </w:tabs>
        <w:ind w:left="2880" w:hanging="360"/>
      </w:pPr>
      <w:rPr>
        <w:rFonts w:ascii="Arial" w:hAnsi="Arial" w:hint="default"/>
      </w:rPr>
    </w:lvl>
    <w:lvl w:ilvl="4" w:tplc="8E747C4C" w:tentative="1">
      <w:start w:val="1"/>
      <w:numFmt w:val="bullet"/>
      <w:lvlText w:val="•"/>
      <w:lvlJc w:val="left"/>
      <w:pPr>
        <w:tabs>
          <w:tab w:val="num" w:pos="3600"/>
        </w:tabs>
        <w:ind w:left="3600" w:hanging="360"/>
      </w:pPr>
      <w:rPr>
        <w:rFonts w:ascii="Arial" w:hAnsi="Arial" w:hint="default"/>
      </w:rPr>
    </w:lvl>
    <w:lvl w:ilvl="5" w:tplc="13E491F6" w:tentative="1">
      <w:start w:val="1"/>
      <w:numFmt w:val="bullet"/>
      <w:lvlText w:val="•"/>
      <w:lvlJc w:val="left"/>
      <w:pPr>
        <w:tabs>
          <w:tab w:val="num" w:pos="4320"/>
        </w:tabs>
        <w:ind w:left="4320" w:hanging="360"/>
      </w:pPr>
      <w:rPr>
        <w:rFonts w:ascii="Arial" w:hAnsi="Arial" w:hint="default"/>
      </w:rPr>
    </w:lvl>
    <w:lvl w:ilvl="6" w:tplc="15AA5D7E" w:tentative="1">
      <w:start w:val="1"/>
      <w:numFmt w:val="bullet"/>
      <w:lvlText w:val="•"/>
      <w:lvlJc w:val="left"/>
      <w:pPr>
        <w:tabs>
          <w:tab w:val="num" w:pos="5040"/>
        </w:tabs>
        <w:ind w:left="5040" w:hanging="360"/>
      </w:pPr>
      <w:rPr>
        <w:rFonts w:ascii="Arial" w:hAnsi="Arial" w:hint="default"/>
      </w:rPr>
    </w:lvl>
    <w:lvl w:ilvl="7" w:tplc="2BA6EEA8" w:tentative="1">
      <w:start w:val="1"/>
      <w:numFmt w:val="bullet"/>
      <w:lvlText w:val="•"/>
      <w:lvlJc w:val="left"/>
      <w:pPr>
        <w:tabs>
          <w:tab w:val="num" w:pos="5760"/>
        </w:tabs>
        <w:ind w:left="5760" w:hanging="360"/>
      </w:pPr>
      <w:rPr>
        <w:rFonts w:ascii="Arial" w:hAnsi="Arial" w:hint="default"/>
      </w:rPr>
    </w:lvl>
    <w:lvl w:ilvl="8" w:tplc="351858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FF0B4A"/>
    <w:multiLevelType w:val="hybridMultilevel"/>
    <w:tmpl w:val="A12245C6"/>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22" w15:restartNumberingAfterBreak="0">
    <w:nsid w:val="694B3FDE"/>
    <w:multiLevelType w:val="hybridMultilevel"/>
    <w:tmpl w:val="B8A06BD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23" w15:restartNumberingAfterBreak="0">
    <w:nsid w:val="69D60E10"/>
    <w:multiLevelType w:val="hybridMultilevel"/>
    <w:tmpl w:val="39422CCC"/>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24" w15:restartNumberingAfterBreak="0">
    <w:nsid w:val="6C332CF7"/>
    <w:multiLevelType w:val="hybridMultilevel"/>
    <w:tmpl w:val="9B8AA15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25" w15:restartNumberingAfterBreak="0">
    <w:nsid w:val="6C705C8A"/>
    <w:multiLevelType w:val="hybridMultilevel"/>
    <w:tmpl w:val="B0D090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4844780"/>
    <w:multiLevelType w:val="hybridMultilevel"/>
    <w:tmpl w:val="9796FC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6420E7F"/>
    <w:multiLevelType w:val="hybridMultilevel"/>
    <w:tmpl w:val="9618942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28" w15:restartNumberingAfterBreak="0">
    <w:nsid w:val="771778D6"/>
    <w:multiLevelType w:val="hybridMultilevel"/>
    <w:tmpl w:val="E5544362"/>
    <w:lvl w:ilvl="0" w:tplc="2334ED6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D7D46"/>
    <w:multiLevelType w:val="hybridMultilevel"/>
    <w:tmpl w:val="870416E4"/>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30" w15:restartNumberingAfterBreak="0">
    <w:nsid w:val="7C6F08CB"/>
    <w:multiLevelType w:val="hybridMultilevel"/>
    <w:tmpl w:val="16E6E842"/>
    <w:lvl w:ilvl="0" w:tplc="DAD004E8">
      <w:start w:val="1"/>
      <w:numFmt w:val="bullet"/>
      <w:lvlText w:val=""/>
      <w:lvlJc w:val="left"/>
      <w:pPr>
        <w:ind w:left="720" w:hanging="360"/>
      </w:pPr>
      <w:rPr>
        <w:rFonts w:ascii="Symbol" w:hAnsi="Symbol" w:hint="default"/>
      </w:rPr>
    </w:lvl>
    <w:lvl w:ilvl="1" w:tplc="AA888FD0">
      <w:start w:val="1"/>
      <w:numFmt w:val="bullet"/>
      <w:lvlText w:val="o"/>
      <w:lvlJc w:val="left"/>
      <w:pPr>
        <w:ind w:left="1440" w:hanging="360"/>
      </w:pPr>
      <w:rPr>
        <w:rFonts w:ascii="Courier New" w:hAnsi="Courier New" w:hint="default"/>
      </w:rPr>
    </w:lvl>
    <w:lvl w:ilvl="2" w:tplc="B0F8A52E">
      <w:start w:val="1"/>
      <w:numFmt w:val="bullet"/>
      <w:lvlText w:val=""/>
      <w:lvlJc w:val="left"/>
      <w:pPr>
        <w:ind w:left="2160" w:hanging="360"/>
      </w:pPr>
      <w:rPr>
        <w:rFonts w:ascii="Wingdings" w:hAnsi="Wingdings" w:hint="default"/>
      </w:rPr>
    </w:lvl>
    <w:lvl w:ilvl="3" w:tplc="40DA5E1A">
      <w:start w:val="1"/>
      <w:numFmt w:val="bullet"/>
      <w:lvlText w:val=""/>
      <w:lvlJc w:val="left"/>
      <w:pPr>
        <w:ind w:left="2880" w:hanging="360"/>
      </w:pPr>
      <w:rPr>
        <w:rFonts w:ascii="Symbol" w:hAnsi="Symbol" w:hint="default"/>
      </w:rPr>
    </w:lvl>
    <w:lvl w:ilvl="4" w:tplc="81D09E36">
      <w:start w:val="1"/>
      <w:numFmt w:val="bullet"/>
      <w:lvlText w:val="o"/>
      <w:lvlJc w:val="left"/>
      <w:pPr>
        <w:ind w:left="3600" w:hanging="360"/>
      </w:pPr>
      <w:rPr>
        <w:rFonts w:ascii="Courier New" w:hAnsi="Courier New" w:hint="default"/>
      </w:rPr>
    </w:lvl>
    <w:lvl w:ilvl="5" w:tplc="2AB485B4">
      <w:start w:val="1"/>
      <w:numFmt w:val="bullet"/>
      <w:lvlText w:val=""/>
      <w:lvlJc w:val="left"/>
      <w:pPr>
        <w:ind w:left="4320" w:hanging="360"/>
      </w:pPr>
      <w:rPr>
        <w:rFonts w:ascii="Wingdings" w:hAnsi="Wingdings" w:hint="default"/>
      </w:rPr>
    </w:lvl>
    <w:lvl w:ilvl="6" w:tplc="D6C02EA6">
      <w:start w:val="1"/>
      <w:numFmt w:val="bullet"/>
      <w:lvlText w:val=""/>
      <w:lvlJc w:val="left"/>
      <w:pPr>
        <w:ind w:left="5040" w:hanging="360"/>
      </w:pPr>
      <w:rPr>
        <w:rFonts w:ascii="Symbol" w:hAnsi="Symbol" w:hint="default"/>
      </w:rPr>
    </w:lvl>
    <w:lvl w:ilvl="7" w:tplc="11286FF2">
      <w:start w:val="1"/>
      <w:numFmt w:val="bullet"/>
      <w:lvlText w:val="o"/>
      <w:lvlJc w:val="left"/>
      <w:pPr>
        <w:ind w:left="5760" w:hanging="360"/>
      </w:pPr>
      <w:rPr>
        <w:rFonts w:ascii="Courier New" w:hAnsi="Courier New" w:hint="default"/>
      </w:rPr>
    </w:lvl>
    <w:lvl w:ilvl="8" w:tplc="09041D5A">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7"/>
  </w:num>
  <w:num w:numId="4">
    <w:abstractNumId w:val="11"/>
  </w:num>
  <w:num w:numId="5">
    <w:abstractNumId w:val="22"/>
  </w:num>
  <w:num w:numId="6">
    <w:abstractNumId w:val="7"/>
  </w:num>
  <w:num w:numId="7">
    <w:abstractNumId w:val="26"/>
  </w:num>
  <w:num w:numId="8">
    <w:abstractNumId w:val="14"/>
  </w:num>
  <w:num w:numId="9">
    <w:abstractNumId w:val="4"/>
  </w:num>
  <w:num w:numId="10">
    <w:abstractNumId w:val="5"/>
  </w:num>
  <w:num w:numId="11">
    <w:abstractNumId w:val="21"/>
  </w:num>
  <w:num w:numId="12">
    <w:abstractNumId w:val="6"/>
  </w:num>
  <w:num w:numId="13">
    <w:abstractNumId w:val="25"/>
  </w:num>
  <w:num w:numId="14">
    <w:abstractNumId w:val="23"/>
  </w:num>
  <w:num w:numId="15">
    <w:abstractNumId w:val="27"/>
  </w:num>
  <w:num w:numId="16">
    <w:abstractNumId w:val="10"/>
  </w:num>
  <w:num w:numId="17">
    <w:abstractNumId w:val="3"/>
  </w:num>
  <w:num w:numId="18">
    <w:abstractNumId w:val="29"/>
  </w:num>
  <w:num w:numId="19">
    <w:abstractNumId w:val="9"/>
  </w:num>
  <w:num w:numId="20">
    <w:abstractNumId w:val="13"/>
  </w:num>
  <w:num w:numId="21">
    <w:abstractNumId w:val="24"/>
  </w:num>
  <w:num w:numId="22">
    <w:abstractNumId w:val="15"/>
  </w:num>
  <w:num w:numId="23">
    <w:abstractNumId w:val="12"/>
  </w:num>
  <w:num w:numId="24">
    <w:abstractNumId w:val="2"/>
  </w:num>
  <w:num w:numId="25">
    <w:abstractNumId w:val="1"/>
    <w:lvlOverride w:ilvl="0">
      <w:lvl w:ilvl="0">
        <w:numFmt w:val="bullet"/>
        <w:lvlText w:val="·"/>
        <w:lvlJc w:val="left"/>
        <w:pPr>
          <w:tabs>
            <w:tab w:val="num" w:pos="648"/>
          </w:tabs>
          <w:ind w:left="648" w:hanging="288"/>
        </w:pPr>
        <w:rPr>
          <w:rFonts w:ascii="Symbol" w:hAnsi="Symbol" w:cs="Symbol"/>
          <w:b/>
          <w:bCs/>
          <w:spacing w:val="1"/>
          <w:sz w:val="20"/>
          <w:szCs w:val="20"/>
        </w:rPr>
      </w:lvl>
    </w:lvlOverride>
  </w:num>
  <w:num w:numId="26">
    <w:abstractNumId w:val="1"/>
    <w:lvlOverride w:ilvl="0">
      <w:lvl w:ilvl="0">
        <w:numFmt w:val="bullet"/>
        <w:lvlText w:val="·"/>
        <w:lvlJc w:val="left"/>
        <w:pPr>
          <w:tabs>
            <w:tab w:val="num" w:pos="720"/>
          </w:tabs>
          <w:ind w:left="1080" w:hanging="720"/>
        </w:pPr>
        <w:rPr>
          <w:rFonts w:ascii="Symbol" w:hAnsi="Symbol" w:cs="Symbol"/>
          <w:b/>
          <w:bCs/>
          <w:spacing w:val="-2"/>
          <w:sz w:val="20"/>
          <w:szCs w:val="20"/>
        </w:rPr>
      </w:lvl>
    </w:lvlOverride>
  </w:num>
  <w:num w:numId="27">
    <w:abstractNumId w:val="0"/>
  </w:num>
  <w:num w:numId="28">
    <w:abstractNumId w:val="16"/>
  </w:num>
  <w:num w:numId="29">
    <w:abstractNumId w:val="18"/>
  </w:num>
  <w:num w:numId="30">
    <w:abstractNumId w:val="8"/>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F0"/>
    <w:rsid w:val="0000461D"/>
    <w:rsid w:val="000073F0"/>
    <w:rsid w:val="00011247"/>
    <w:rsid w:val="00013AA0"/>
    <w:rsid w:val="000162EC"/>
    <w:rsid w:val="00017B36"/>
    <w:rsid w:val="000216C3"/>
    <w:rsid w:val="000406AD"/>
    <w:rsid w:val="00045469"/>
    <w:rsid w:val="000471CD"/>
    <w:rsid w:val="00060024"/>
    <w:rsid w:val="00066814"/>
    <w:rsid w:val="000744A4"/>
    <w:rsid w:val="000745AA"/>
    <w:rsid w:val="000773A2"/>
    <w:rsid w:val="0008613A"/>
    <w:rsid w:val="00090DB6"/>
    <w:rsid w:val="000918FD"/>
    <w:rsid w:val="000951F1"/>
    <w:rsid w:val="00095870"/>
    <w:rsid w:val="000A62A9"/>
    <w:rsid w:val="000B00C5"/>
    <w:rsid w:val="000B39B2"/>
    <w:rsid w:val="000C596A"/>
    <w:rsid w:val="000C675A"/>
    <w:rsid w:val="000E1773"/>
    <w:rsid w:val="000E5228"/>
    <w:rsid w:val="00120985"/>
    <w:rsid w:val="00124511"/>
    <w:rsid w:val="001316DC"/>
    <w:rsid w:val="00133325"/>
    <w:rsid w:val="0016487B"/>
    <w:rsid w:val="00176270"/>
    <w:rsid w:val="001766C2"/>
    <w:rsid w:val="00176E12"/>
    <w:rsid w:val="00177C42"/>
    <w:rsid w:val="001A0C08"/>
    <w:rsid w:val="001A1498"/>
    <w:rsid w:val="001A5B14"/>
    <w:rsid w:val="001C1A5F"/>
    <w:rsid w:val="001D2707"/>
    <w:rsid w:val="001D592C"/>
    <w:rsid w:val="001E1C38"/>
    <w:rsid w:val="001E1D3B"/>
    <w:rsid w:val="001E6744"/>
    <w:rsid w:val="001F02A4"/>
    <w:rsid w:val="001F1588"/>
    <w:rsid w:val="001F402B"/>
    <w:rsid w:val="00202BC0"/>
    <w:rsid w:val="00220B08"/>
    <w:rsid w:val="0022510F"/>
    <w:rsid w:val="002278F8"/>
    <w:rsid w:val="00240328"/>
    <w:rsid w:val="00247372"/>
    <w:rsid w:val="00265028"/>
    <w:rsid w:val="00277529"/>
    <w:rsid w:val="00281689"/>
    <w:rsid w:val="00282388"/>
    <w:rsid w:val="00283F9F"/>
    <w:rsid w:val="00287AC5"/>
    <w:rsid w:val="00296EB2"/>
    <w:rsid w:val="002A29A4"/>
    <w:rsid w:val="002B5277"/>
    <w:rsid w:val="002D1CD0"/>
    <w:rsid w:val="002D1DAF"/>
    <w:rsid w:val="002D225B"/>
    <w:rsid w:val="002E0830"/>
    <w:rsid w:val="002E534B"/>
    <w:rsid w:val="002E6D23"/>
    <w:rsid w:val="002F4131"/>
    <w:rsid w:val="00312183"/>
    <w:rsid w:val="00312B25"/>
    <w:rsid w:val="00320E22"/>
    <w:rsid w:val="00324693"/>
    <w:rsid w:val="0032685C"/>
    <w:rsid w:val="00332DDF"/>
    <w:rsid w:val="00347C44"/>
    <w:rsid w:val="003522CA"/>
    <w:rsid w:val="00361D5A"/>
    <w:rsid w:val="003650D3"/>
    <w:rsid w:val="00370FCB"/>
    <w:rsid w:val="0037268A"/>
    <w:rsid w:val="0037526B"/>
    <w:rsid w:val="00381D83"/>
    <w:rsid w:val="003845BC"/>
    <w:rsid w:val="003A1704"/>
    <w:rsid w:val="003A2240"/>
    <w:rsid w:val="003A3F45"/>
    <w:rsid w:val="003A78B9"/>
    <w:rsid w:val="003D134A"/>
    <w:rsid w:val="003D5D6E"/>
    <w:rsid w:val="003D6425"/>
    <w:rsid w:val="003E74F2"/>
    <w:rsid w:val="003F3EC5"/>
    <w:rsid w:val="00401FEA"/>
    <w:rsid w:val="00402E80"/>
    <w:rsid w:val="0040646E"/>
    <w:rsid w:val="00424BA0"/>
    <w:rsid w:val="0042571C"/>
    <w:rsid w:val="00434373"/>
    <w:rsid w:val="00443A9D"/>
    <w:rsid w:val="00447BB8"/>
    <w:rsid w:val="004543DD"/>
    <w:rsid w:val="00460CFA"/>
    <w:rsid w:val="00476B5C"/>
    <w:rsid w:val="00484736"/>
    <w:rsid w:val="00493751"/>
    <w:rsid w:val="004A2CAC"/>
    <w:rsid w:val="004A6FA1"/>
    <w:rsid w:val="004B6F84"/>
    <w:rsid w:val="004B700F"/>
    <w:rsid w:val="004C6D33"/>
    <w:rsid w:val="004D5978"/>
    <w:rsid w:val="004D6539"/>
    <w:rsid w:val="004D78B5"/>
    <w:rsid w:val="004F170A"/>
    <w:rsid w:val="00502710"/>
    <w:rsid w:val="00506C84"/>
    <w:rsid w:val="00511CF0"/>
    <w:rsid w:val="00513DB6"/>
    <w:rsid w:val="00522A28"/>
    <w:rsid w:val="00530AC5"/>
    <w:rsid w:val="00532163"/>
    <w:rsid w:val="00533B77"/>
    <w:rsid w:val="00537CEF"/>
    <w:rsid w:val="00540E42"/>
    <w:rsid w:val="0054214B"/>
    <w:rsid w:val="005422F1"/>
    <w:rsid w:val="005526F4"/>
    <w:rsid w:val="0055681C"/>
    <w:rsid w:val="0055718C"/>
    <w:rsid w:val="00565CDD"/>
    <w:rsid w:val="00565DD7"/>
    <w:rsid w:val="0057373D"/>
    <w:rsid w:val="00591B8D"/>
    <w:rsid w:val="0059370B"/>
    <w:rsid w:val="005A239A"/>
    <w:rsid w:val="005B5375"/>
    <w:rsid w:val="005B7901"/>
    <w:rsid w:val="005C3F9E"/>
    <w:rsid w:val="005D1C78"/>
    <w:rsid w:val="005D47A4"/>
    <w:rsid w:val="005E0454"/>
    <w:rsid w:val="005E6D26"/>
    <w:rsid w:val="006063E9"/>
    <w:rsid w:val="006102B9"/>
    <w:rsid w:val="00613B16"/>
    <w:rsid w:val="00625DF2"/>
    <w:rsid w:val="0063084C"/>
    <w:rsid w:val="00631E54"/>
    <w:rsid w:val="00652FB0"/>
    <w:rsid w:val="00654597"/>
    <w:rsid w:val="00654A67"/>
    <w:rsid w:val="006559A6"/>
    <w:rsid w:val="00676A08"/>
    <w:rsid w:val="00690EDF"/>
    <w:rsid w:val="00691352"/>
    <w:rsid w:val="006913B8"/>
    <w:rsid w:val="0069405D"/>
    <w:rsid w:val="00697EA2"/>
    <w:rsid w:val="006A191C"/>
    <w:rsid w:val="006B28F1"/>
    <w:rsid w:val="006B2BCB"/>
    <w:rsid w:val="006B72BB"/>
    <w:rsid w:val="006C22EF"/>
    <w:rsid w:val="006C2768"/>
    <w:rsid w:val="006C3F1A"/>
    <w:rsid w:val="006C7605"/>
    <w:rsid w:val="006D3392"/>
    <w:rsid w:val="006E47DE"/>
    <w:rsid w:val="006E54FC"/>
    <w:rsid w:val="006F6660"/>
    <w:rsid w:val="00701F8D"/>
    <w:rsid w:val="00701FEE"/>
    <w:rsid w:val="00712F37"/>
    <w:rsid w:val="0071343D"/>
    <w:rsid w:val="00714D84"/>
    <w:rsid w:val="0072015C"/>
    <w:rsid w:val="00720F7C"/>
    <w:rsid w:val="00721288"/>
    <w:rsid w:val="007224B3"/>
    <w:rsid w:val="00723103"/>
    <w:rsid w:val="00724D94"/>
    <w:rsid w:val="00732D6E"/>
    <w:rsid w:val="007359DB"/>
    <w:rsid w:val="0075037E"/>
    <w:rsid w:val="00752417"/>
    <w:rsid w:val="00754B28"/>
    <w:rsid w:val="0075534A"/>
    <w:rsid w:val="007628A3"/>
    <w:rsid w:val="007713FD"/>
    <w:rsid w:val="00771E7A"/>
    <w:rsid w:val="00773C7D"/>
    <w:rsid w:val="00773D66"/>
    <w:rsid w:val="00780B40"/>
    <w:rsid w:val="007941BE"/>
    <w:rsid w:val="00794FCC"/>
    <w:rsid w:val="007968AF"/>
    <w:rsid w:val="00797717"/>
    <w:rsid w:val="007B71AE"/>
    <w:rsid w:val="007B7EFB"/>
    <w:rsid w:val="007C3C62"/>
    <w:rsid w:val="007D20AC"/>
    <w:rsid w:val="007D2FF8"/>
    <w:rsid w:val="007D3726"/>
    <w:rsid w:val="007D5834"/>
    <w:rsid w:val="007E00AD"/>
    <w:rsid w:val="007E0C4F"/>
    <w:rsid w:val="007F27E7"/>
    <w:rsid w:val="008042AD"/>
    <w:rsid w:val="00807572"/>
    <w:rsid w:val="008243E4"/>
    <w:rsid w:val="0083064B"/>
    <w:rsid w:val="0083273B"/>
    <w:rsid w:val="008333F8"/>
    <w:rsid w:val="00835BC4"/>
    <w:rsid w:val="00837574"/>
    <w:rsid w:val="00837EC1"/>
    <w:rsid w:val="00844494"/>
    <w:rsid w:val="00852BA8"/>
    <w:rsid w:val="0086206D"/>
    <w:rsid w:val="0087037F"/>
    <w:rsid w:val="0087487A"/>
    <w:rsid w:val="00874F31"/>
    <w:rsid w:val="00880FD2"/>
    <w:rsid w:val="008829BA"/>
    <w:rsid w:val="00886735"/>
    <w:rsid w:val="008879C6"/>
    <w:rsid w:val="008A6DF8"/>
    <w:rsid w:val="008C63A7"/>
    <w:rsid w:val="008D0D41"/>
    <w:rsid w:val="008D2A1C"/>
    <w:rsid w:val="008E67D2"/>
    <w:rsid w:val="008F0C43"/>
    <w:rsid w:val="008F48CA"/>
    <w:rsid w:val="008F5032"/>
    <w:rsid w:val="0090259B"/>
    <w:rsid w:val="00905736"/>
    <w:rsid w:val="00914DB9"/>
    <w:rsid w:val="00917009"/>
    <w:rsid w:val="009314DD"/>
    <w:rsid w:val="00933230"/>
    <w:rsid w:val="00942441"/>
    <w:rsid w:val="009454BC"/>
    <w:rsid w:val="00946E0E"/>
    <w:rsid w:val="00947C19"/>
    <w:rsid w:val="00950E3A"/>
    <w:rsid w:val="00951A94"/>
    <w:rsid w:val="00954F61"/>
    <w:rsid w:val="00963A33"/>
    <w:rsid w:val="00965880"/>
    <w:rsid w:val="00981271"/>
    <w:rsid w:val="00985C06"/>
    <w:rsid w:val="00985E58"/>
    <w:rsid w:val="00992612"/>
    <w:rsid w:val="00996AAA"/>
    <w:rsid w:val="009A5865"/>
    <w:rsid w:val="009B08ED"/>
    <w:rsid w:val="009B7C30"/>
    <w:rsid w:val="009D2AEB"/>
    <w:rsid w:val="009D7CEE"/>
    <w:rsid w:val="009E1787"/>
    <w:rsid w:val="009E20EE"/>
    <w:rsid w:val="009E30DC"/>
    <w:rsid w:val="009F2464"/>
    <w:rsid w:val="00A04415"/>
    <w:rsid w:val="00A212B5"/>
    <w:rsid w:val="00A31A15"/>
    <w:rsid w:val="00A346EF"/>
    <w:rsid w:val="00A376D8"/>
    <w:rsid w:val="00A41D23"/>
    <w:rsid w:val="00A471D5"/>
    <w:rsid w:val="00A476AD"/>
    <w:rsid w:val="00A50C50"/>
    <w:rsid w:val="00A601B3"/>
    <w:rsid w:val="00A64D6C"/>
    <w:rsid w:val="00A738DF"/>
    <w:rsid w:val="00A81657"/>
    <w:rsid w:val="00A8711C"/>
    <w:rsid w:val="00A92DBE"/>
    <w:rsid w:val="00AA40E7"/>
    <w:rsid w:val="00AA7AC0"/>
    <w:rsid w:val="00AB2E5C"/>
    <w:rsid w:val="00AC0770"/>
    <w:rsid w:val="00AC127A"/>
    <w:rsid w:val="00AE0EC0"/>
    <w:rsid w:val="00AE1D44"/>
    <w:rsid w:val="00AE4C16"/>
    <w:rsid w:val="00AF1A93"/>
    <w:rsid w:val="00AF48C7"/>
    <w:rsid w:val="00AF787D"/>
    <w:rsid w:val="00B10A71"/>
    <w:rsid w:val="00B12105"/>
    <w:rsid w:val="00B218AF"/>
    <w:rsid w:val="00B30E8E"/>
    <w:rsid w:val="00B33FF5"/>
    <w:rsid w:val="00B36C34"/>
    <w:rsid w:val="00B45C9C"/>
    <w:rsid w:val="00B479CB"/>
    <w:rsid w:val="00B47E29"/>
    <w:rsid w:val="00B50601"/>
    <w:rsid w:val="00B569DD"/>
    <w:rsid w:val="00B63F4D"/>
    <w:rsid w:val="00B71985"/>
    <w:rsid w:val="00B811E3"/>
    <w:rsid w:val="00B81BC3"/>
    <w:rsid w:val="00B92775"/>
    <w:rsid w:val="00B92DBF"/>
    <w:rsid w:val="00B969F5"/>
    <w:rsid w:val="00BA29E4"/>
    <w:rsid w:val="00BB13D2"/>
    <w:rsid w:val="00BD3784"/>
    <w:rsid w:val="00C108C8"/>
    <w:rsid w:val="00C17069"/>
    <w:rsid w:val="00C17EE4"/>
    <w:rsid w:val="00C40626"/>
    <w:rsid w:val="00C41CE0"/>
    <w:rsid w:val="00C439FC"/>
    <w:rsid w:val="00C60509"/>
    <w:rsid w:val="00C674CF"/>
    <w:rsid w:val="00C708C3"/>
    <w:rsid w:val="00C71FE4"/>
    <w:rsid w:val="00C72815"/>
    <w:rsid w:val="00C7651E"/>
    <w:rsid w:val="00C867FF"/>
    <w:rsid w:val="00CB1AE9"/>
    <w:rsid w:val="00CB2064"/>
    <w:rsid w:val="00CB5F48"/>
    <w:rsid w:val="00CC1756"/>
    <w:rsid w:val="00CC2D16"/>
    <w:rsid w:val="00CD48AF"/>
    <w:rsid w:val="00CE27B3"/>
    <w:rsid w:val="00D07209"/>
    <w:rsid w:val="00D14B70"/>
    <w:rsid w:val="00D1730B"/>
    <w:rsid w:val="00D30148"/>
    <w:rsid w:val="00D3408C"/>
    <w:rsid w:val="00D36EE3"/>
    <w:rsid w:val="00D431B6"/>
    <w:rsid w:val="00D4629C"/>
    <w:rsid w:val="00D474B7"/>
    <w:rsid w:val="00D57FA5"/>
    <w:rsid w:val="00D61C25"/>
    <w:rsid w:val="00D637AA"/>
    <w:rsid w:val="00D660B7"/>
    <w:rsid w:val="00D725E0"/>
    <w:rsid w:val="00D7278B"/>
    <w:rsid w:val="00D76FE2"/>
    <w:rsid w:val="00D852E5"/>
    <w:rsid w:val="00D91F5C"/>
    <w:rsid w:val="00D93463"/>
    <w:rsid w:val="00D95C92"/>
    <w:rsid w:val="00D9676D"/>
    <w:rsid w:val="00DA0F80"/>
    <w:rsid w:val="00DA2C26"/>
    <w:rsid w:val="00DB6682"/>
    <w:rsid w:val="00DB770B"/>
    <w:rsid w:val="00DC1866"/>
    <w:rsid w:val="00DC4053"/>
    <w:rsid w:val="00DC7E27"/>
    <w:rsid w:val="00DE4004"/>
    <w:rsid w:val="00DF62A3"/>
    <w:rsid w:val="00E05F13"/>
    <w:rsid w:val="00E449DC"/>
    <w:rsid w:val="00E458D0"/>
    <w:rsid w:val="00E514EA"/>
    <w:rsid w:val="00E67D1E"/>
    <w:rsid w:val="00E77F45"/>
    <w:rsid w:val="00E84603"/>
    <w:rsid w:val="00E84901"/>
    <w:rsid w:val="00E96160"/>
    <w:rsid w:val="00EB4BA4"/>
    <w:rsid w:val="00EB7B87"/>
    <w:rsid w:val="00EC55E2"/>
    <w:rsid w:val="00EC63A5"/>
    <w:rsid w:val="00ED33C6"/>
    <w:rsid w:val="00ED5622"/>
    <w:rsid w:val="00EE39DB"/>
    <w:rsid w:val="00EF332C"/>
    <w:rsid w:val="00EF5772"/>
    <w:rsid w:val="00EF59A9"/>
    <w:rsid w:val="00F0208E"/>
    <w:rsid w:val="00F06CCA"/>
    <w:rsid w:val="00F124ED"/>
    <w:rsid w:val="00F2026B"/>
    <w:rsid w:val="00F20319"/>
    <w:rsid w:val="00F24277"/>
    <w:rsid w:val="00F3357F"/>
    <w:rsid w:val="00F3396C"/>
    <w:rsid w:val="00F45157"/>
    <w:rsid w:val="00F45FEA"/>
    <w:rsid w:val="00F509FB"/>
    <w:rsid w:val="00F57D9B"/>
    <w:rsid w:val="00F623C4"/>
    <w:rsid w:val="00F63B2A"/>
    <w:rsid w:val="00F6623C"/>
    <w:rsid w:val="00F67EF2"/>
    <w:rsid w:val="00F82B37"/>
    <w:rsid w:val="00F82C62"/>
    <w:rsid w:val="00F86883"/>
    <w:rsid w:val="00FA1F84"/>
    <w:rsid w:val="00FA27FB"/>
    <w:rsid w:val="00FA6A38"/>
    <w:rsid w:val="00FC06D8"/>
    <w:rsid w:val="00FC679A"/>
    <w:rsid w:val="00FC68B9"/>
    <w:rsid w:val="00FD021D"/>
    <w:rsid w:val="00FD2FC6"/>
    <w:rsid w:val="0451B801"/>
    <w:rsid w:val="0A85F802"/>
    <w:rsid w:val="0DEBEBC4"/>
    <w:rsid w:val="16E41375"/>
    <w:rsid w:val="17B9237D"/>
    <w:rsid w:val="1BCD9FF6"/>
    <w:rsid w:val="1E29057C"/>
    <w:rsid w:val="373971F1"/>
    <w:rsid w:val="38D62BB6"/>
    <w:rsid w:val="5135BDA8"/>
    <w:rsid w:val="5584D525"/>
    <w:rsid w:val="56575DF4"/>
    <w:rsid w:val="63479864"/>
    <w:rsid w:val="66475144"/>
    <w:rsid w:val="6C7AE569"/>
    <w:rsid w:val="6C7D8916"/>
    <w:rsid w:val="6D9F600B"/>
    <w:rsid w:val="6DF05520"/>
    <w:rsid w:val="72E780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DECF"/>
  <w15:docId w15:val="{53794A19-3F36-4B64-A7DB-727E6A5F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C78"/>
    <w:pPr>
      <w:spacing w:after="0"/>
      <w:ind w:right="564"/>
    </w:pPr>
    <w:rPr>
      <w:rFonts w:ascii="Calibri" w:eastAsia="Arial" w:hAnsi="Calibri" w:cs="Calibri"/>
      <w:spacing w:val="-2"/>
      <w:sz w:val="20"/>
      <w:szCs w:val="20"/>
      <w:lang w:val="en-GB"/>
    </w:rPr>
  </w:style>
  <w:style w:type="paragraph" w:styleId="Heading1">
    <w:name w:val="heading 1"/>
    <w:basedOn w:val="Normal"/>
    <w:next w:val="Normal"/>
    <w:link w:val="Heading1Char"/>
    <w:uiPriority w:val="9"/>
    <w:qFormat/>
    <w:rsid w:val="005D1C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707"/>
    <w:rPr>
      <w:sz w:val="16"/>
      <w:szCs w:val="16"/>
    </w:rPr>
  </w:style>
  <w:style w:type="paragraph" w:styleId="CommentText">
    <w:name w:val="annotation text"/>
    <w:basedOn w:val="Normal"/>
    <w:link w:val="CommentTextChar"/>
    <w:uiPriority w:val="99"/>
    <w:unhideWhenUsed/>
    <w:rsid w:val="001D2707"/>
    <w:pPr>
      <w:spacing w:line="240" w:lineRule="auto"/>
    </w:pPr>
  </w:style>
  <w:style w:type="character" w:customStyle="1" w:styleId="CommentTextChar">
    <w:name w:val="Comment Text Char"/>
    <w:basedOn w:val="DefaultParagraphFont"/>
    <w:link w:val="CommentText"/>
    <w:uiPriority w:val="99"/>
    <w:rsid w:val="001D2707"/>
    <w:rPr>
      <w:sz w:val="20"/>
      <w:szCs w:val="20"/>
    </w:rPr>
  </w:style>
  <w:style w:type="paragraph" w:styleId="CommentSubject">
    <w:name w:val="annotation subject"/>
    <w:basedOn w:val="CommentText"/>
    <w:next w:val="CommentText"/>
    <w:link w:val="CommentSubjectChar"/>
    <w:uiPriority w:val="99"/>
    <w:semiHidden/>
    <w:unhideWhenUsed/>
    <w:rsid w:val="001D2707"/>
    <w:rPr>
      <w:b/>
      <w:bCs/>
    </w:rPr>
  </w:style>
  <w:style w:type="character" w:customStyle="1" w:styleId="CommentSubjectChar">
    <w:name w:val="Comment Subject Char"/>
    <w:basedOn w:val="CommentTextChar"/>
    <w:link w:val="CommentSubject"/>
    <w:uiPriority w:val="99"/>
    <w:semiHidden/>
    <w:rsid w:val="001D2707"/>
    <w:rPr>
      <w:b/>
      <w:bCs/>
      <w:sz w:val="20"/>
      <w:szCs w:val="20"/>
    </w:rPr>
  </w:style>
  <w:style w:type="paragraph" w:styleId="BalloonText">
    <w:name w:val="Balloon Text"/>
    <w:basedOn w:val="Normal"/>
    <w:link w:val="BalloonTextChar"/>
    <w:uiPriority w:val="99"/>
    <w:semiHidden/>
    <w:unhideWhenUsed/>
    <w:rsid w:val="001D27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707"/>
    <w:rPr>
      <w:rFonts w:ascii="Tahoma" w:hAnsi="Tahoma" w:cs="Tahoma"/>
      <w:sz w:val="16"/>
      <w:szCs w:val="16"/>
    </w:rPr>
  </w:style>
  <w:style w:type="paragraph" w:styleId="ListParagraph">
    <w:name w:val="List Paragraph"/>
    <w:basedOn w:val="Normal"/>
    <w:uiPriority w:val="34"/>
    <w:qFormat/>
    <w:rsid w:val="00DC1866"/>
    <w:pPr>
      <w:ind w:left="720"/>
      <w:contextualSpacing/>
    </w:pPr>
  </w:style>
  <w:style w:type="character" w:styleId="Hyperlink">
    <w:name w:val="Hyperlink"/>
    <w:basedOn w:val="DefaultParagraphFont"/>
    <w:uiPriority w:val="99"/>
    <w:unhideWhenUsed/>
    <w:rsid w:val="00D61C25"/>
    <w:rPr>
      <w:color w:val="0000FF" w:themeColor="hyperlink"/>
      <w:u w:val="single"/>
    </w:rPr>
  </w:style>
  <w:style w:type="paragraph" w:customStyle="1" w:styleId="Default">
    <w:name w:val="Default"/>
    <w:rsid w:val="003A3F45"/>
    <w:pPr>
      <w:widowControl/>
      <w:autoSpaceDE w:val="0"/>
      <w:autoSpaceDN w:val="0"/>
      <w:adjustRightInd w:val="0"/>
      <w:spacing w:after="0" w:line="240" w:lineRule="auto"/>
    </w:pPr>
    <w:rPr>
      <w:rFonts w:ascii="Arial" w:hAnsi="Arial" w:cs="Arial"/>
      <w:color w:val="000000"/>
      <w:sz w:val="24"/>
      <w:szCs w:val="24"/>
      <w:lang w:val="nl-BE"/>
    </w:rPr>
  </w:style>
  <w:style w:type="paragraph" w:styleId="Header">
    <w:name w:val="header"/>
    <w:basedOn w:val="Normal"/>
    <w:link w:val="HeaderChar"/>
    <w:uiPriority w:val="99"/>
    <w:unhideWhenUsed/>
    <w:rsid w:val="001A0C08"/>
    <w:pPr>
      <w:tabs>
        <w:tab w:val="center" w:pos="4536"/>
        <w:tab w:val="right" w:pos="9072"/>
      </w:tabs>
      <w:spacing w:line="240" w:lineRule="auto"/>
    </w:pPr>
  </w:style>
  <w:style w:type="character" w:customStyle="1" w:styleId="HeaderChar">
    <w:name w:val="Header Char"/>
    <w:basedOn w:val="DefaultParagraphFont"/>
    <w:link w:val="Header"/>
    <w:uiPriority w:val="99"/>
    <w:rsid w:val="001A0C08"/>
  </w:style>
  <w:style w:type="paragraph" w:styleId="Footer">
    <w:name w:val="footer"/>
    <w:basedOn w:val="Normal"/>
    <w:link w:val="FooterChar"/>
    <w:uiPriority w:val="99"/>
    <w:unhideWhenUsed/>
    <w:rsid w:val="001A0C08"/>
    <w:pPr>
      <w:tabs>
        <w:tab w:val="center" w:pos="4536"/>
        <w:tab w:val="right" w:pos="9072"/>
      </w:tabs>
      <w:spacing w:line="240" w:lineRule="auto"/>
    </w:pPr>
  </w:style>
  <w:style w:type="character" w:customStyle="1" w:styleId="FooterChar">
    <w:name w:val="Footer Char"/>
    <w:basedOn w:val="DefaultParagraphFont"/>
    <w:link w:val="Footer"/>
    <w:uiPriority w:val="99"/>
    <w:rsid w:val="001A0C08"/>
  </w:style>
  <w:style w:type="table" w:styleId="TableGrid">
    <w:name w:val="Table Grid"/>
    <w:basedOn w:val="TableNormal"/>
    <w:uiPriority w:val="59"/>
    <w:rsid w:val="00045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1C78"/>
    <w:rPr>
      <w:rFonts w:asciiTheme="majorHAnsi" w:eastAsiaTheme="majorEastAsia" w:hAnsiTheme="majorHAnsi" w:cstheme="majorBidi"/>
      <w:bCs/>
      <w:color w:val="365F91" w:themeColor="accent1" w:themeShade="BF"/>
      <w:spacing w:val="-2"/>
      <w:sz w:val="28"/>
      <w:szCs w:val="28"/>
      <w:lang w:val="en-GB"/>
    </w:rPr>
  </w:style>
  <w:style w:type="paragraph" w:styleId="NoSpacing">
    <w:name w:val="No Spacing"/>
    <w:uiPriority w:val="1"/>
    <w:qFormat/>
    <w:rsid w:val="00942441"/>
    <w:pPr>
      <w:spacing w:after="0" w:line="240" w:lineRule="auto"/>
      <w:ind w:right="564"/>
    </w:pPr>
    <w:rPr>
      <w:rFonts w:ascii="Calibri" w:eastAsia="Arial" w:hAnsi="Calibri" w:cs="Calibri"/>
      <w:spacing w:val="-2"/>
      <w:sz w:val="20"/>
      <w:szCs w:val="20"/>
      <w:lang w:val="en-GB"/>
    </w:rPr>
  </w:style>
  <w:style w:type="paragraph" w:styleId="FootnoteText">
    <w:name w:val="footnote text"/>
    <w:basedOn w:val="Normal"/>
    <w:link w:val="FootnoteTextChar"/>
    <w:uiPriority w:val="99"/>
    <w:semiHidden/>
    <w:unhideWhenUsed/>
    <w:rsid w:val="00C17069"/>
    <w:pPr>
      <w:spacing w:line="240" w:lineRule="auto"/>
    </w:pPr>
  </w:style>
  <w:style w:type="character" w:customStyle="1" w:styleId="FootnoteTextChar">
    <w:name w:val="Footnote Text Char"/>
    <w:basedOn w:val="DefaultParagraphFont"/>
    <w:link w:val="FootnoteText"/>
    <w:uiPriority w:val="99"/>
    <w:semiHidden/>
    <w:rsid w:val="00C17069"/>
    <w:rPr>
      <w:rFonts w:ascii="Calibri" w:eastAsia="Arial" w:hAnsi="Calibri" w:cs="Calibri"/>
      <w:spacing w:val="-2"/>
      <w:sz w:val="20"/>
      <w:szCs w:val="20"/>
      <w:lang w:val="en-GB"/>
    </w:rPr>
  </w:style>
  <w:style w:type="character" w:styleId="FootnoteReference">
    <w:name w:val="footnote reference"/>
    <w:basedOn w:val="DefaultParagraphFont"/>
    <w:uiPriority w:val="99"/>
    <w:semiHidden/>
    <w:unhideWhenUsed/>
    <w:rsid w:val="00C17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520">
      <w:bodyDiv w:val="1"/>
      <w:marLeft w:val="0"/>
      <w:marRight w:val="0"/>
      <w:marTop w:val="0"/>
      <w:marBottom w:val="0"/>
      <w:divBdr>
        <w:top w:val="none" w:sz="0" w:space="0" w:color="auto"/>
        <w:left w:val="none" w:sz="0" w:space="0" w:color="auto"/>
        <w:bottom w:val="none" w:sz="0" w:space="0" w:color="auto"/>
        <w:right w:val="none" w:sz="0" w:space="0" w:color="auto"/>
      </w:divBdr>
    </w:div>
    <w:div w:id="18744468">
      <w:bodyDiv w:val="1"/>
      <w:marLeft w:val="0"/>
      <w:marRight w:val="0"/>
      <w:marTop w:val="0"/>
      <w:marBottom w:val="0"/>
      <w:divBdr>
        <w:top w:val="none" w:sz="0" w:space="0" w:color="auto"/>
        <w:left w:val="none" w:sz="0" w:space="0" w:color="auto"/>
        <w:bottom w:val="none" w:sz="0" w:space="0" w:color="auto"/>
        <w:right w:val="none" w:sz="0" w:space="0" w:color="auto"/>
      </w:divBdr>
    </w:div>
    <w:div w:id="106823721">
      <w:bodyDiv w:val="1"/>
      <w:marLeft w:val="0"/>
      <w:marRight w:val="0"/>
      <w:marTop w:val="0"/>
      <w:marBottom w:val="0"/>
      <w:divBdr>
        <w:top w:val="none" w:sz="0" w:space="0" w:color="auto"/>
        <w:left w:val="none" w:sz="0" w:space="0" w:color="auto"/>
        <w:bottom w:val="none" w:sz="0" w:space="0" w:color="auto"/>
        <w:right w:val="none" w:sz="0" w:space="0" w:color="auto"/>
      </w:divBdr>
    </w:div>
    <w:div w:id="163475186">
      <w:bodyDiv w:val="1"/>
      <w:marLeft w:val="0"/>
      <w:marRight w:val="0"/>
      <w:marTop w:val="0"/>
      <w:marBottom w:val="0"/>
      <w:divBdr>
        <w:top w:val="none" w:sz="0" w:space="0" w:color="auto"/>
        <w:left w:val="none" w:sz="0" w:space="0" w:color="auto"/>
        <w:bottom w:val="none" w:sz="0" w:space="0" w:color="auto"/>
        <w:right w:val="none" w:sz="0" w:space="0" w:color="auto"/>
      </w:divBdr>
    </w:div>
    <w:div w:id="344940648">
      <w:bodyDiv w:val="1"/>
      <w:marLeft w:val="0"/>
      <w:marRight w:val="0"/>
      <w:marTop w:val="0"/>
      <w:marBottom w:val="0"/>
      <w:divBdr>
        <w:top w:val="none" w:sz="0" w:space="0" w:color="auto"/>
        <w:left w:val="none" w:sz="0" w:space="0" w:color="auto"/>
        <w:bottom w:val="none" w:sz="0" w:space="0" w:color="auto"/>
        <w:right w:val="none" w:sz="0" w:space="0" w:color="auto"/>
      </w:divBdr>
    </w:div>
    <w:div w:id="369689501">
      <w:bodyDiv w:val="1"/>
      <w:marLeft w:val="0"/>
      <w:marRight w:val="0"/>
      <w:marTop w:val="0"/>
      <w:marBottom w:val="0"/>
      <w:divBdr>
        <w:top w:val="none" w:sz="0" w:space="0" w:color="auto"/>
        <w:left w:val="none" w:sz="0" w:space="0" w:color="auto"/>
        <w:bottom w:val="none" w:sz="0" w:space="0" w:color="auto"/>
        <w:right w:val="none" w:sz="0" w:space="0" w:color="auto"/>
      </w:divBdr>
    </w:div>
    <w:div w:id="371925786">
      <w:bodyDiv w:val="1"/>
      <w:marLeft w:val="0"/>
      <w:marRight w:val="0"/>
      <w:marTop w:val="0"/>
      <w:marBottom w:val="0"/>
      <w:divBdr>
        <w:top w:val="none" w:sz="0" w:space="0" w:color="auto"/>
        <w:left w:val="none" w:sz="0" w:space="0" w:color="auto"/>
        <w:bottom w:val="none" w:sz="0" w:space="0" w:color="auto"/>
        <w:right w:val="none" w:sz="0" w:space="0" w:color="auto"/>
      </w:divBdr>
    </w:div>
    <w:div w:id="399208454">
      <w:bodyDiv w:val="1"/>
      <w:marLeft w:val="0"/>
      <w:marRight w:val="0"/>
      <w:marTop w:val="0"/>
      <w:marBottom w:val="0"/>
      <w:divBdr>
        <w:top w:val="none" w:sz="0" w:space="0" w:color="auto"/>
        <w:left w:val="none" w:sz="0" w:space="0" w:color="auto"/>
        <w:bottom w:val="none" w:sz="0" w:space="0" w:color="auto"/>
        <w:right w:val="none" w:sz="0" w:space="0" w:color="auto"/>
      </w:divBdr>
    </w:div>
    <w:div w:id="528690077">
      <w:bodyDiv w:val="1"/>
      <w:marLeft w:val="0"/>
      <w:marRight w:val="0"/>
      <w:marTop w:val="0"/>
      <w:marBottom w:val="0"/>
      <w:divBdr>
        <w:top w:val="none" w:sz="0" w:space="0" w:color="auto"/>
        <w:left w:val="none" w:sz="0" w:space="0" w:color="auto"/>
        <w:bottom w:val="none" w:sz="0" w:space="0" w:color="auto"/>
        <w:right w:val="none" w:sz="0" w:space="0" w:color="auto"/>
      </w:divBdr>
    </w:div>
    <w:div w:id="563033332">
      <w:bodyDiv w:val="1"/>
      <w:marLeft w:val="0"/>
      <w:marRight w:val="0"/>
      <w:marTop w:val="0"/>
      <w:marBottom w:val="0"/>
      <w:divBdr>
        <w:top w:val="none" w:sz="0" w:space="0" w:color="auto"/>
        <w:left w:val="none" w:sz="0" w:space="0" w:color="auto"/>
        <w:bottom w:val="none" w:sz="0" w:space="0" w:color="auto"/>
        <w:right w:val="none" w:sz="0" w:space="0" w:color="auto"/>
      </w:divBdr>
    </w:div>
    <w:div w:id="594021510">
      <w:bodyDiv w:val="1"/>
      <w:marLeft w:val="0"/>
      <w:marRight w:val="0"/>
      <w:marTop w:val="0"/>
      <w:marBottom w:val="0"/>
      <w:divBdr>
        <w:top w:val="none" w:sz="0" w:space="0" w:color="auto"/>
        <w:left w:val="none" w:sz="0" w:space="0" w:color="auto"/>
        <w:bottom w:val="none" w:sz="0" w:space="0" w:color="auto"/>
        <w:right w:val="none" w:sz="0" w:space="0" w:color="auto"/>
      </w:divBdr>
    </w:div>
    <w:div w:id="599609460">
      <w:bodyDiv w:val="1"/>
      <w:marLeft w:val="0"/>
      <w:marRight w:val="0"/>
      <w:marTop w:val="0"/>
      <w:marBottom w:val="0"/>
      <w:divBdr>
        <w:top w:val="none" w:sz="0" w:space="0" w:color="auto"/>
        <w:left w:val="none" w:sz="0" w:space="0" w:color="auto"/>
        <w:bottom w:val="none" w:sz="0" w:space="0" w:color="auto"/>
        <w:right w:val="none" w:sz="0" w:space="0" w:color="auto"/>
      </w:divBdr>
      <w:divsChild>
        <w:div w:id="657075276">
          <w:marLeft w:val="274"/>
          <w:marRight w:val="0"/>
          <w:marTop w:val="82"/>
          <w:marBottom w:val="0"/>
          <w:divBdr>
            <w:top w:val="none" w:sz="0" w:space="0" w:color="auto"/>
            <w:left w:val="none" w:sz="0" w:space="0" w:color="auto"/>
            <w:bottom w:val="none" w:sz="0" w:space="0" w:color="auto"/>
            <w:right w:val="none" w:sz="0" w:space="0" w:color="auto"/>
          </w:divBdr>
        </w:div>
        <w:div w:id="646856346">
          <w:marLeft w:val="562"/>
          <w:marRight w:val="0"/>
          <w:marTop w:val="82"/>
          <w:marBottom w:val="0"/>
          <w:divBdr>
            <w:top w:val="none" w:sz="0" w:space="0" w:color="auto"/>
            <w:left w:val="none" w:sz="0" w:space="0" w:color="auto"/>
            <w:bottom w:val="none" w:sz="0" w:space="0" w:color="auto"/>
            <w:right w:val="none" w:sz="0" w:space="0" w:color="auto"/>
          </w:divBdr>
        </w:div>
        <w:div w:id="1280188975">
          <w:marLeft w:val="850"/>
          <w:marRight w:val="0"/>
          <w:marTop w:val="82"/>
          <w:marBottom w:val="0"/>
          <w:divBdr>
            <w:top w:val="none" w:sz="0" w:space="0" w:color="auto"/>
            <w:left w:val="none" w:sz="0" w:space="0" w:color="auto"/>
            <w:bottom w:val="none" w:sz="0" w:space="0" w:color="auto"/>
            <w:right w:val="none" w:sz="0" w:space="0" w:color="auto"/>
          </w:divBdr>
        </w:div>
        <w:div w:id="1804230188">
          <w:marLeft w:val="1138"/>
          <w:marRight w:val="0"/>
          <w:marTop w:val="82"/>
          <w:marBottom w:val="0"/>
          <w:divBdr>
            <w:top w:val="none" w:sz="0" w:space="0" w:color="auto"/>
            <w:left w:val="none" w:sz="0" w:space="0" w:color="auto"/>
            <w:bottom w:val="none" w:sz="0" w:space="0" w:color="auto"/>
            <w:right w:val="none" w:sz="0" w:space="0" w:color="auto"/>
          </w:divBdr>
        </w:div>
        <w:div w:id="1306007212">
          <w:marLeft w:val="562"/>
          <w:marRight w:val="0"/>
          <w:marTop w:val="82"/>
          <w:marBottom w:val="0"/>
          <w:divBdr>
            <w:top w:val="none" w:sz="0" w:space="0" w:color="auto"/>
            <w:left w:val="none" w:sz="0" w:space="0" w:color="auto"/>
            <w:bottom w:val="none" w:sz="0" w:space="0" w:color="auto"/>
            <w:right w:val="none" w:sz="0" w:space="0" w:color="auto"/>
          </w:divBdr>
        </w:div>
        <w:div w:id="2030063311">
          <w:marLeft w:val="850"/>
          <w:marRight w:val="0"/>
          <w:marTop w:val="82"/>
          <w:marBottom w:val="0"/>
          <w:divBdr>
            <w:top w:val="none" w:sz="0" w:space="0" w:color="auto"/>
            <w:left w:val="none" w:sz="0" w:space="0" w:color="auto"/>
            <w:bottom w:val="none" w:sz="0" w:space="0" w:color="auto"/>
            <w:right w:val="none" w:sz="0" w:space="0" w:color="auto"/>
          </w:divBdr>
        </w:div>
        <w:div w:id="1021785240">
          <w:marLeft w:val="1138"/>
          <w:marRight w:val="0"/>
          <w:marTop w:val="82"/>
          <w:marBottom w:val="0"/>
          <w:divBdr>
            <w:top w:val="none" w:sz="0" w:space="0" w:color="auto"/>
            <w:left w:val="none" w:sz="0" w:space="0" w:color="auto"/>
            <w:bottom w:val="none" w:sz="0" w:space="0" w:color="auto"/>
            <w:right w:val="none" w:sz="0" w:space="0" w:color="auto"/>
          </w:divBdr>
        </w:div>
        <w:div w:id="148327656">
          <w:marLeft w:val="1138"/>
          <w:marRight w:val="0"/>
          <w:marTop w:val="82"/>
          <w:marBottom w:val="0"/>
          <w:divBdr>
            <w:top w:val="none" w:sz="0" w:space="0" w:color="auto"/>
            <w:left w:val="none" w:sz="0" w:space="0" w:color="auto"/>
            <w:bottom w:val="none" w:sz="0" w:space="0" w:color="auto"/>
            <w:right w:val="none" w:sz="0" w:space="0" w:color="auto"/>
          </w:divBdr>
        </w:div>
        <w:div w:id="75635321">
          <w:marLeft w:val="562"/>
          <w:marRight w:val="0"/>
          <w:marTop w:val="82"/>
          <w:marBottom w:val="0"/>
          <w:divBdr>
            <w:top w:val="none" w:sz="0" w:space="0" w:color="auto"/>
            <w:left w:val="none" w:sz="0" w:space="0" w:color="auto"/>
            <w:bottom w:val="none" w:sz="0" w:space="0" w:color="auto"/>
            <w:right w:val="none" w:sz="0" w:space="0" w:color="auto"/>
          </w:divBdr>
        </w:div>
        <w:div w:id="2121682743">
          <w:marLeft w:val="850"/>
          <w:marRight w:val="0"/>
          <w:marTop w:val="82"/>
          <w:marBottom w:val="0"/>
          <w:divBdr>
            <w:top w:val="none" w:sz="0" w:space="0" w:color="auto"/>
            <w:left w:val="none" w:sz="0" w:space="0" w:color="auto"/>
            <w:bottom w:val="none" w:sz="0" w:space="0" w:color="auto"/>
            <w:right w:val="none" w:sz="0" w:space="0" w:color="auto"/>
          </w:divBdr>
        </w:div>
        <w:div w:id="617957990">
          <w:marLeft w:val="1138"/>
          <w:marRight w:val="0"/>
          <w:marTop w:val="82"/>
          <w:marBottom w:val="0"/>
          <w:divBdr>
            <w:top w:val="none" w:sz="0" w:space="0" w:color="auto"/>
            <w:left w:val="none" w:sz="0" w:space="0" w:color="auto"/>
            <w:bottom w:val="none" w:sz="0" w:space="0" w:color="auto"/>
            <w:right w:val="none" w:sz="0" w:space="0" w:color="auto"/>
          </w:divBdr>
        </w:div>
        <w:div w:id="858667022">
          <w:marLeft w:val="1138"/>
          <w:marRight w:val="0"/>
          <w:marTop w:val="82"/>
          <w:marBottom w:val="0"/>
          <w:divBdr>
            <w:top w:val="none" w:sz="0" w:space="0" w:color="auto"/>
            <w:left w:val="none" w:sz="0" w:space="0" w:color="auto"/>
            <w:bottom w:val="none" w:sz="0" w:space="0" w:color="auto"/>
            <w:right w:val="none" w:sz="0" w:space="0" w:color="auto"/>
          </w:divBdr>
        </w:div>
        <w:div w:id="1881159763">
          <w:marLeft w:val="562"/>
          <w:marRight w:val="0"/>
          <w:marTop w:val="82"/>
          <w:marBottom w:val="0"/>
          <w:divBdr>
            <w:top w:val="none" w:sz="0" w:space="0" w:color="auto"/>
            <w:left w:val="none" w:sz="0" w:space="0" w:color="auto"/>
            <w:bottom w:val="none" w:sz="0" w:space="0" w:color="auto"/>
            <w:right w:val="none" w:sz="0" w:space="0" w:color="auto"/>
          </w:divBdr>
        </w:div>
        <w:div w:id="2022655535">
          <w:marLeft w:val="850"/>
          <w:marRight w:val="0"/>
          <w:marTop w:val="82"/>
          <w:marBottom w:val="0"/>
          <w:divBdr>
            <w:top w:val="none" w:sz="0" w:space="0" w:color="auto"/>
            <w:left w:val="none" w:sz="0" w:space="0" w:color="auto"/>
            <w:bottom w:val="none" w:sz="0" w:space="0" w:color="auto"/>
            <w:right w:val="none" w:sz="0" w:space="0" w:color="auto"/>
          </w:divBdr>
        </w:div>
        <w:div w:id="2079744228">
          <w:marLeft w:val="850"/>
          <w:marRight w:val="0"/>
          <w:marTop w:val="82"/>
          <w:marBottom w:val="0"/>
          <w:divBdr>
            <w:top w:val="none" w:sz="0" w:space="0" w:color="auto"/>
            <w:left w:val="none" w:sz="0" w:space="0" w:color="auto"/>
            <w:bottom w:val="none" w:sz="0" w:space="0" w:color="auto"/>
            <w:right w:val="none" w:sz="0" w:space="0" w:color="auto"/>
          </w:divBdr>
        </w:div>
      </w:divsChild>
    </w:div>
    <w:div w:id="601648608">
      <w:bodyDiv w:val="1"/>
      <w:marLeft w:val="0"/>
      <w:marRight w:val="0"/>
      <w:marTop w:val="0"/>
      <w:marBottom w:val="0"/>
      <w:divBdr>
        <w:top w:val="none" w:sz="0" w:space="0" w:color="auto"/>
        <w:left w:val="none" w:sz="0" w:space="0" w:color="auto"/>
        <w:bottom w:val="none" w:sz="0" w:space="0" w:color="auto"/>
        <w:right w:val="none" w:sz="0" w:space="0" w:color="auto"/>
      </w:divBdr>
      <w:divsChild>
        <w:div w:id="59715872">
          <w:marLeft w:val="446"/>
          <w:marRight w:val="0"/>
          <w:marTop w:val="86"/>
          <w:marBottom w:val="0"/>
          <w:divBdr>
            <w:top w:val="none" w:sz="0" w:space="0" w:color="auto"/>
            <w:left w:val="none" w:sz="0" w:space="0" w:color="auto"/>
            <w:bottom w:val="none" w:sz="0" w:space="0" w:color="auto"/>
            <w:right w:val="none" w:sz="0" w:space="0" w:color="auto"/>
          </w:divBdr>
        </w:div>
      </w:divsChild>
    </w:div>
    <w:div w:id="601688510">
      <w:bodyDiv w:val="1"/>
      <w:marLeft w:val="0"/>
      <w:marRight w:val="0"/>
      <w:marTop w:val="0"/>
      <w:marBottom w:val="0"/>
      <w:divBdr>
        <w:top w:val="none" w:sz="0" w:space="0" w:color="auto"/>
        <w:left w:val="none" w:sz="0" w:space="0" w:color="auto"/>
        <w:bottom w:val="none" w:sz="0" w:space="0" w:color="auto"/>
        <w:right w:val="none" w:sz="0" w:space="0" w:color="auto"/>
      </w:divBdr>
    </w:div>
    <w:div w:id="662588380">
      <w:bodyDiv w:val="1"/>
      <w:marLeft w:val="0"/>
      <w:marRight w:val="0"/>
      <w:marTop w:val="0"/>
      <w:marBottom w:val="0"/>
      <w:divBdr>
        <w:top w:val="none" w:sz="0" w:space="0" w:color="auto"/>
        <w:left w:val="none" w:sz="0" w:space="0" w:color="auto"/>
        <w:bottom w:val="none" w:sz="0" w:space="0" w:color="auto"/>
        <w:right w:val="none" w:sz="0" w:space="0" w:color="auto"/>
      </w:divBdr>
    </w:div>
    <w:div w:id="702100355">
      <w:bodyDiv w:val="1"/>
      <w:marLeft w:val="0"/>
      <w:marRight w:val="0"/>
      <w:marTop w:val="0"/>
      <w:marBottom w:val="0"/>
      <w:divBdr>
        <w:top w:val="none" w:sz="0" w:space="0" w:color="auto"/>
        <w:left w:val="none" w:sz="0" w:space="0" w:color="auto"/>
        <w:bottom w:val="none" w:sz="0" w:space="0" w:color="auto"/>
        <w:right w:val="none" w:sz="0" w:space="0" w:color="auto"/>
      </w:divBdr>
    </w:div>
    <w:div w:id="959068853">
      <w:bodyDiv w:val="1"/>
      <w:marLeft w:val="0"/>
      <w:marRight w:val="0"/>
      <w:marTop w:val="0"/>
      <w:marBottom w:val="0"/>
      <w:divBdr>
        <w:top w:val="none" w:sz="0" w:space="0" w:color="auto"/>
        <w:left w:val="none" w:sz="0" w:space="0" w:color="auto"/>
        <w:bottom w:val="none" w:sz="0" w:space="0" w:color="auto"/>
        <w:right w:val="none" w:sz="0" w:space="0" w:color="auto"/>
      </w:divBdr>
    </w:div>
    <w:div w:id="1029524367">
      <w:bodyDiv w:val="1"/>
      <w:marLeft w:val="0"/>
      <w:marRight w:val="0"/>
      <w:marTop w:val="0"/>
      <w:marBottom w:val="0"/>
      <w:divBdr>
        <w:top w:val="none" w:sz="0" w:space="0" w:color="auto"/>
        <w:left w:val="none" w:sz="0" w:space="0" w:color="auto"/>
        <w:bottom w:val="none" w:sz="0" w:space="0" w:color="auto"/>
        <w:right w:val="none" w:sz="0" w:space="0" w:color="auto"/>
      </w:divBdr>
    </w:div>
    <w:div w:id="1065109769">
      <w:bodyDiv w:val="1"/>
      <w:marLeft w:val="0"/>
      <w:marRight w:val="0"/>
      <w:marTop w:val="0"/>
      <w:marBottom w:val="0"/>
      <w:divBdr>
        <w:top w:val="none" w:sz="0" w:space="0" w:color="auto"/>
        <w:left w:val="none" w:sz="0" w:space="0" w:color="auto"/>
        <w:bottom w:val="none" w:sz="0" w:space="0" w:color="auto"/>
        <w:right w:val="none" w:sz="0" w:space="0" w:color="auto"/>
      </w:divBdr>
    </w:div>
    <w:div w:id="1112675432">
      <w:bodyDiv w:val="1"/>
      <w:marLeft w:val="0"/>
      <w:marRight w:val="0"/>
      <w:marTop w:val="0"/>
      <w:marBottom w:val="0"/>
      <w:divBdr>
        <w:top w:val="none" w:sz="0" w:space="0" w:color="auto"/>
        <w:left w:val="none" w:sz="0" w:space="0" w:color="auto"/>
        <w:bottom w:val="none" w:sz="0" w:space="0" w:color="auto"/>
        <w:right w:val="none" w:sz="0" w:space="0" w:color="auto"/>
      </w:divBdr>
    </w:div>
    <w:div w:id="1184125588">
      <w:bodyDiv w:val="1"/>
      <w:marLeft w:val="0"/>
      <w:marRight w:val="0"/>
      <w:marTop w:val="0"/>
      <w:marBottom w:val="0"/>
      <w:divBdr>
        <w:top w:val="none" w:sz="0" w:space="0" w:color="auto"/>
        <w:left w:val="none" w:sz="0" w:space="0" w:color="auto"/>
        <w:bottom w:val="none" w:sz="0" w:space="0" w:color="auto"/>
        <w:right w:val="none" w:sz="0" w:space="0" w:color="auto"/>
      </w:divBdr>
    </w:div>
    <w:div w:id="1187911330">
      <w:bodyDiv w:val="1"/>
      <w:marLeft w:val="0"/>
      <w:marRight w:val="0"/>
      <w:marTop w:val="0"/>
      <w:marBottom w:val="0"/>
      <w:divBdr>
        <w:top w:val="none" w:sz="0" w:space="0" w:color="auto"/>
        <w:left w:val="none" w:sz="0" w:space="0" w:color="auto"/>
        <w:bottom w:val="none" w:sz="0" w:space="0" w:color="auto"/>
        <w:right w:val="none" w:sz="0" w:space="0" w:color="auto"/>
      </w:divBdr>
    </w:div>
    <w:div w:id="1191340997">
      <w:bodyDiv w:val="1"/>
      <w:marLeft w:val="0"/>
      <w:marRight w:val="0"/>
      <w:marTop w:val="0"/>
      <w:marBottom w:val="0"/>
      <w:divBdr>
        <w:top w:val="none" w:sz="0" w:space="0" w:color="auto"/>
        <w:left w:val="none" w:sz="0" w:space="0" w:color="auto"/>
        <w:bottom w:val="none" w:sz="0" w:space="0" w:color="auto"/>
        <w:right w:val="none" w:sz="0" w:space="0" w:color="auto"/>
      </w:divBdr>
    </w:div>
    <w:div w:id="1236822080">
      <w:bodyDiv w:val="1"/>
      <w:marLeft w:val="0"/>
      <w:marRight w:val="0"/>
      <w:marTop w:val="0"/>
      <w:marBottom w:val="0"/>
      <w:divBdr>
        <w:top w:val="none" w:sz="0" w:space="0" w:color="auto"/>
        <w:left w:val="none" w:sz="0" w:space="0" w:color="auto"/>
        <w:bottom w:val="none" w:sz="0" w:space="0" w:color="auto"/>
        <w:right w:val="none" w:sz="0" w:space="0" w:color="auto"/>
      </w:divBdr>
    </w:div>
    <w:div w:id="1252156439">
      <w:bodyDiv w:val="1"/>
      <w:marLeft w:val="0"/>
      <w:marRight w:val="0"/>
      <w:marTop w:val="0"/>
      <w:marBottom w:val="0"/>
      <w:divBdr>
        <w:top w:val="none" w:sz="0" w:space="0" w:color="auto"/>
        <w:left w:val="none" w:sz="0" w:space="0" w:color="auto"/>
        <w:bottom w:val="none" w:sz="0" w:space="0" w:color="auto"/>
        <w:right w:val="none" w:sz="0" w:space="0" w:color="auto"/>
      </w:divBdr>
    </w:div>
    <w:div w:id="1284263235">
      <w:bodyDiv w:val="1"/>
      <w:marLeft w:val="0"/>
      <w:marRight w:val="0"/>
      <w:marTop w:val="0"/>
      <w:marBottom w:val="0"/>
      <w:divBdr>
        <w:top w:val="none" w:sz="0" w:space="0" w:color="auto"/>
        <w:left w:val="none" w:sz="0" w:space="0" w:color="auto"/>
        <w:bottom w:val="none" w:sz="0" w:space="0" w:color="auto"/>
        <w:right w:val="none" w:sz="0" w:space="0" w:color="auto"/>
      </w:divBdr>
    </w:div>
    <w:div w:id="1318415895">
      <w:bodyDiv w:val="1"/>
      <w:marLeft w:val="0"/>
      <w:marRight w:val="0"/>
      <w:marTop w:val="0"/>
      <w:marBottom w:val="0"/>
      <w:divBdr>
        <w:top w:val="none" w:sz="0" w:space="0" w:color="auto"/>
        <w:left w:val="none" w:sz="0" w:space="0" w:color="auto"/>
        <w:bottom w:val="none" w:sz="0" w:space="0" w:color="auto"/>
        <w:right w:val="none" w:sz="0" w:space="0" w:color="auto"/>
      </w:divBdr>
    </w:div>
    <w:div w:id="1422600262">
      <w:bodyDiv w:val="1"/>
      <w:marLeft w:val="0"/>
      <w:marRight w:val="0"/>
      <w:marTop w:val="0"/>
      <w:marBottom w:val="0"/>
      <w:divBdr>
        <w:top w:val="none" w:sz="0" w:space="0" w:color="auto"/>
        <w:left w:val="none" w:sz="0" w:space="0" w:color="auto"/>
        <w:bottom w:val="none" w:sz="0" w:space="0" w:color="auto"/>
        <w:right w:val="none" w:sz="0" w:space="0" w:color="auto"/>
      </w:divBdr>
    </w:div>
    <w:div w:id="1452166997">
      <w:bodyDiv w:val="1"/>
      <w:marLeft w:val="0"/>
      <w:marRight w:val="0"/>
      <w:marTop w:val="0"/>
      <w:marBottom w:val="0"/>
      <w:divBdr>
        <w:top w:val="none" w:sz="0" w:space="0" w:color="auto"/>
        <w:left w:val="none" w:sz="0" w:space="0" w:color="auto"/>
        <w:bottom w:val="none" w:sz="0" w:space="0" w:color="auto"/>
        <w:right w:val="none" w:sz="0" w:space="0" w:color="auto"/>
      </w:divBdr>
    </w:div>
    <w:div w:id="1485973118">
      <w:bodyDiv w:val="1"/>
      <w:marLeft w:val="0"/>
      <w:marRight w:val="0"/>
      <w:marTop w:val="0"/>
      <w:marBottom w:val="0"/>
      <w:divBdr>
        <w:top w:val="none" w:sz="0" w:space="0" w:color="auto"/>
        <w:left w:val="none" w:sz="0" w:space="0" w:color="auto"/>
        <w:bottom w:val="none" w:sz="0" w:space="0" w:color="auto"/>
        <w:right w:val="none" w:sz="0" w:space="0" w:color="auto"/>
      </w:divBdr>
    </w:div>
    <w:div w:id="1600914471">
      <w:bodyDiv w:val="1"/>
      <w:marLeft w:val="0"/>
      <w:marRight w:val="0"/>
      <w:marTop w:val="0"/>
      <w:marBottom w:val="0"/>
      <w:divBdr>
        <w:top w:val="none" w:sz="0" w:space="0" w:color="auto"/>
        <w:left w:val="none" w:sz="0" w:space="0" w:color="auto"/>
        <w:bottom w:val="none" w:sz="0" w:space="0" w:color="auto"/>
        <w:right w:val="none" w:sz="0" w:space="0" w:color="auto"/>
      </w:divBdr>
    </w:div>
    <w:div w:id="1706902189">
      <w:bodyDiv w:val="1"/>
      <w:marLeft w:val="0"/>
      <w:marRight w:val="0"/>
      <w:marTop w:val="0"/>
      <w:marBottom w:val="0"/>
      <w:divBdr>
        <w:top w:val="none" w:sz="0" w:space="0" w:color="auto"/>
        <w:left w:val="none" w:sz="0" w:space="0" w:color="auto"/>
        <w:bottom w:val="none" w:sz="0" w:space="0" w:color="auto"/>
        <w:right w:val="none" w:sz="0" w:space="0" w:color="auto"/>
      </w:divBdr>
    </w:div>
    <w:div w:id="1720472045">
      <w:bodyDiv w:val="1"/>
      <w:marLeft w:val="0"/>
      <w:marRight w:val="0"/>
      <w:marTop w:val="0"/>
      <w:marBottom w:val="0"/>
      <w:divBdr>
        <w:top w:val="none" w:sz="0" w:space="0" w:color="auto"/>
        <w:left w:val="none" w:sz="0" w:space="0" w:color="auto"/>
        <w:bottom w:val="none" w:sz="0" w:space="0" w:color="auto"/>
        <w:right w:val="none" w:sz="0" w:space="0" w:color="auto"/>
      </w:divBdr>
    </w:div>
    <w:div w:id="1848013230">
      <w:bodyDiv w:val="1"/>
      <w:marLeft w:val="0"/>
      <w:marRight w:val="0"/>
      <w:marTop w:val="0"/>
      <w:marBottom w:val="0"/>
      <w:divBdr>
        <w:top w:val="none" w:sz="0" w:space="0" w:color="auto"/>
        <w:left w:val="none" w:sz="0" w:space="0" w:color="auto"/>
        <w:bottom w:val="none" w:sz="0" w:space="0" w:color="auto"/>
        <w:right w:val="none" w:sz="0" w:space="0" w:color="auto"/>
      </w:divBdr>
    </w:div>
    <w:div w:id="1894651966">
      <w:bodyDiv w:val="1"/>
      <w:marLeft w:val="0"/>
      <w:marRight w:val="0"/>
      <w:marTop w:val="0"/>
      <w:marBottom w:val="0"/>
      <w:divBdr>
        <w:top w:val="none" w:sz="0" w:space="0" w:color="auto"/>
        <w:left w:val="none" w:sz="0" w:space="0" w:color="auto"/>
        <w:bottom w:val="none" w:sz="0" w:space="0" w:color="auto"/>
        <w:right w:val="none" w:sz="0" w:space="0" w:color="auto"/>
      </w:divBdr>
    </w:div>
    <w:div w:id="1952586810">
      <w:bodyDiv w:val="1"/>
      <w:marLeft w:val="0"/>
      <w:marRight w:val="0"/>
      <w:marTop w:val="0"/>
      <w:marBottom w:val="0"/>
      <w:divBdr>
        <w:top w:val="none" w:sz="0" w:space="0" w:color="auto"/>
        <w:left w:val="none" w:sz="0" w:space="0" w:color="auto"/>
        <w:bottom w:val="none" w:sz="0" w:space="0" w:color="auto"/>
        <w:right w:val="none" w:sz="0" w:space="0" w:color="auto"/>
      </w:divBdr>
    </w:div>
    <w:div w:id="2002151731">
      <w:bodyDiv w:val="1"/>
      <w:marLeft w:val="0"/>
      <w:marRight w:val="0"/>
      <w:marTop w:val="0"/>
      <w:marBottom w:val="0"/>
      <w:divBdr>
        <w:top w:val="none" w:sz="0" w:space="0" w:color="auto"/>
        <w:left w:val="none" w:sz="0" w:space="0" w:color="auto"/>
        <w:bottom w:val="none" w:sz="0" w:space="0" w:color="auto"/>
        <w:right w:val="none" w:sz="0" w:space="0" w:color="auto"/>
      </w:divBdr>
    </w:div>
    <w:div w:id="2016833417">
      <w:bodyDiv w:val="1"/>
      <w:marLeft w:val="0"/>
      <w:marRight w:val="0"/>
      <w:marTop w:val="0"/>
      <w:marBottom w:val="0"/>
      <w:divBdr>
        <w:top w:val="none" w:sz="0" w:space="0" w:color="auto"/>
        <w:left w:val="none" w:sz="0" w:space="0" w:color="auto"/>
        <w:bottom w:val="none" w:sz="0" w:space="0" w:color="auto"/>
        <w:right w:val="none" w:sz="0" w:space="0" w:color="auto"/>
      </w:divBdr>
    </w:div>
    <w:div w:id="2092459438">
      <w:bodyDiv w:val="1"/>
      <w:marLeft w:val="0"/>
      <w:marRight w:val="0"/>
      <w:marTop w:val="0"/>
      <w:marBottom w:val="0"/>
      <w:divBdr>
        <w:top w:val="none" w:sz="0" w:space="0" w:color="auto"/>
        <w:left w:val="none" w:sz="0" w:space="0" w:color="auto"/>
        <w:bottom w:val="none" w:sz="0" w:space="0" w:color="auto"/>
        <w:right w:val="none" w:sz="0" w:space="0" w:color="auto"/>
      </w:divBdr>
      <w:divsChild>
        <w:div w:id="2020541245">
          <w:marLeft w:val="446"/>
          <w:marRight w:val="0"/>
          <w:marTop w:val="0"/>
          <w:marBottom w:val="0"/>
          <w:divBdr>
            <w:top w:val="none" w:sz="0" w:space="0" w:color="auto"/>
            <w:left w:val="none" w:sz="0" w:space="0" w:color="auto"/>
            <w:bottom w:val="none" w:sz="0" w:space="0" w:color="auto"/>
            <w:right w:val="none" w:sz="0" w:space="0" w:color="auto"/>
          </w:divBdr>
        </w:div>
        <w:div w:id="1125275282">
          <w:marLeft w:val="446"/>
          <w:marRight w:val="0"/>
          <w:marTop w:val="0"/>
          <w:marBottom w:val="0"/>
          <w:divBdr>
            <w:top w:val="none" w:sz="0" w:space="0" w:color="auto"/>
            <w:left w:val="none" w:sz="0" w:space="0" w:color="auto"/>
            <w:bottom w:val="none" w:sz="0" w:space="0" w:color="auto"/>
            <w:right w:val="none" w:sz="0" w:space="0" w:color="auto"/>
          </w:divBdr>
        </w:div>
        <w:div w:id="1167210616">
          <w:marLeft w:val="446"/>
          <w:marRight w:val="0"/>
          <w:marTop w:val="0"/>
          <w:marBottom w:val="0"/>
          <w:divBdr>
            <w:top w:val="none" w:sz="0" w:space="0" w:color="auto"/>
            <w:left w:val="none" w:sz="0" w:space="0" w:color="auto"/>
            <w:bottom w:val="none" w:sz="0" w:space="0" w:color="auto"/>
            <w:right w:val="none" w:sz="0" w:space="0" w:color="auto"/>
          </w:divBdr>
        </w:div>
      </w:divsChild>
    </w:div>
    <w:div w:id="2133933072">
      <w:bodyDiv w:val="1"/>
      <w:marLeft w:val="0"/>
      <w:marRight w:val="0"/>
      <w:marTop w:val="0"/>
      <w:marBottom w:val="0"/>
      <w:divBdr>
        <w:top w:val="none" w:sz="0" w:space="0" w:color="auto"/>
        <w:left w:val="none" w:sz="0" w:space="0" w:color="auto"/>
        <w:bottom w:val="none" w:sz="0" w:space="0" w:color="auto"/>
        <w:right w:val="none" w:sz="0" w:space="0" w:color="auto"/>
      </w:divBdr>
    </w:div>
    <w:div w:id="2134665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apps1.eere.energy.gov/buildings/publications/pdfs/ssl/energysavingsforecast14.pdf" TargetMode="External"/><Relationship Id="rId2" Type="http://schemas.openxmlformats.org/officeDocument/2006/relationships/customXml" Target="../customXml/item2.xml"/><Relationship Id="rId16" Type="http://schemas.openxmlformats.org/officeDocument/2006/relationships/hyperlink" Target="http://apps1.eere.energy.gov/buildings/publications/pdfs/ssl/led_general-service-lamp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ia.gov/todayinenergy/detail.cfm?id=1547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lighting.philips.com/main/prof/lamps/fluorescent-lamps-and-starters/tl/t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5562ae3-42bc-453c-b05e-54200364a35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B73AC610F9A14F9981177DEE5FC357" ma:contentTypeVersion="3" ma:contentTypeDescription="Create a new document." ma:contentTypeScope="" ma:versionID="1935f02204591b451e4b68809527a73b">
  <xsd:schema xmlns:xsd="http://www.w3.org/2001/XMLSchema" xmlns:xs="http://www.w3.org/2001/XMLSchema" xmlns:p="http://schemas.microsoft.com/office/2006/metadata/properties" xmlns:ns2="f5562ae3-42bc-453c-b05e-54200364a355" targetNamespace="http://schemas.microsoft.com/office/2006/metadata/properties" ma:root="true" ma:fieldsID="b7905d922af46973d8f68af00d61813c" ns2:_="">
    <xsd:import namespace="f5562ae3-42bc-453c-b05e-54200364a35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2ae3-42bc-453c-b05e-54200364a3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6619-C558-4FBA-8244-1907F52D1F61}">
  <ds:schemaRefs>
    <ds:schemaRef ds:uri="http://schemas.microsoft.com/sharepoint/v3/contenttype/forms"/>
  </ds:schemaRefs>
</ds:datastoreItem>
</file>

<file path=customXml/itemProps2.xml><?xml version="1.0" encoding="utf-8"?>
<ds:datastoreItem xmlns:ds="http://schemas.openxmlformats.org/officeDocument/2006/customXml" ds:itemID="{3BA18B17-E9DA-4280-8920-D17899956F98}">
  <ds:schemaRefs>
    <ds:schemaRef ds:uri="http://schemas.microsoft.com/office/2006/metadata/properties"/>
    <ds:schemaRef ds:uri="http://schemas.microsoft.com/office/infopath/2007/PartnerControls"/>
    <ds:schemaRef ds:uri="f5562ae3-42bc-453c-b05e-54200364a355"/>
  </ds:schemaRefs>
</ds:datastoreItem>
</file>

<file path=customXml/itemProps3.xml><?xml version="1.0" encoding="utf-8"?>
<ds:datastoreItem xmlns:ds="http://schemas.openxmlformats.org/officeDocument/2006/customXml" ds:itemID="{2450B5D0-9383-403A-89DB-BAFDEB8D4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62ae3-42bc-453c-b05e-54200364a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02CC6-75F9-46E9-A3C9-5E5F6435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3644</Words>
  <Characters>20777</Characters>
  <Application>Microsoft Office Word</Application>
  <DocSecurity>0</DocSecurity>
  <Lines>173</Lines>
  <Paragraphs>48</Paragraphs>
  <ScaleCrop>false</ScaleCrop>
  <HeadingPairs>
    <vt:vector size="10" baseType="variant">
      <vt:variant>
        <vt:lpstr>Title</vt:lpstr>
      </vt:variant>
      <vt:variant>
        <vt:i4>1</vt:i4>
      </vt:variant>
      <vt:variant>
        <vt:lpstr>Titre</vt:lpstr>
      </vt:variant>
      <vt:variant>
        <vt:i4>1</vt:i4>
      </vt:variant>
      <vt:variant>
        <vt:lpstr>Titres</vt:lpstr>
      </vt:variant>
      <vt:variant>
        <vt:i4>1</vt:i4>
      </vt:variant>
      <vt:variant>
        <vt:lpstr>Titel</vt:lpstr>
      </vt:variant>
      <vt:variant>
        <vt:i4>1</vt:i4>
      </vt:variant>
      <vt:variant>
        <vt:lpstr>Titolo</vt:lpstr>
      </vt:variant>
      <vt:variant>
        <vt:i4>1</vt:i4>
      </vt:variant>
    </vt:vector>
  </HeadingPairs>
  <TitlesOfParts>
    <vt:vector size="5" baseType="lpstr">
      <vt:lpstr/>
      <vt:lpstr/>
      <vt:lpstr>DG ENER Lot 37: EcoDesign Preparatory Study on Lighting Systems</vt:lpstr>
      <vt:lpstr/>
      <vt:lpstr/>
    </vt:vector>
  </TitlesOfParts>
  <Company>VITO</Company>
  <LinksUpToDate>false</LinksUpToDate>
  <CharactersWithSpaces>24373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paul.vantichelen@vito.be</dc:creator>
  <cp:lastModifiedBy>Chiara Briatore</cp:lastModifiedBy>
  <cp:revision>4</cp:revision>
  <cp:lastPrinted>2015-07-03T11:09:00Z</cp:lastPrinted>
  <dcterms:created xsi:type="dcterms:W3CDTF">2015-07-10T15:51:00Z</dcterms:created>
  <dcterms:modified xsi:type="dcterms:W3CDTF">2015-07-10T16:00:00Z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LastSaved">
    <vt:filetime>2014-01-29T00:00:00Z</vt:filetime>
  </property>
  <property fmtid="{D5CDD505-2E9C-101B-9397-08002B2CF9AE}" pid="4" name="ContentTypeId">
    <vt:lpwstr>0x010100D2B73AC610F9A14F9981177DEE5FC357</vt:lpwstr>
  </property>
</Properties>
</file>